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760" w:firstLineChars="400"/>
        <w:rPr>
          <w:rFonts w:ascii="宋体" w:hAnsi="宋体" w:eastAsia="宋体"/>
          <w:sz w:val="44"/>
        </w:rPr>
      </w:pPr>
      <w:r>
        <w:rPr>
          <w:rFonts w:hint="eastAsia" w:ascii="宋体" w:hAnsi="宋体" w:eastAsia="宋体"/>
          <w:sz w:val="44"/>
        </w:rPr>
        <w:t>深  圳  市  人  民  政  府</w:t>
      </w:r>
    </w:p>
    <w:p>
      <w:pPr>
        <w:spacing w:line="560" w:lineRule="exact"/>
        <w:ind w:firstLine="3092" w:firstLineChars="700"/>
        <w:rPr>
          <w:rFonts w:asciiTheme="minorEastAsia" w:hAnsiTheme="minorEastAsia" w:eastAsiaTheme="minorEastAsia"/>
          <w:b/>
          <w:bCs/>
          <w:sz w:val="44"/>
        </w:rPr>
      </w:pPr>
      <w:r>
        <w:rPr>
          <w:rFonts w:hint="eastAsia" w:asciiTheme="minorEastAsia" w:hAnsiTheme="minorEastAsia" w:eastAsiaTheme="minorEastAsia"/>
          <w:b/>
          <w:bCs/>
          <w:sz w:val="44"/>
        </w:rPr>
        <w:t xml:space="preserve">行政复议决定书  </w:t>
      </w:r>
    </w:p>
    <w:p>
      <w:pPr>
        <w:wordWrap w:val="0"/>
        <w:spacing w:line="560" w:lineRule="exact"/>
        <w:ind w:firstLine="640"/>
        <w:jc w:val="right"/>
      </w:pPr>
      <w:r>
        <w:rPr>
          <w:rFonts w:hint="eastAsia"/>
        </w:rPr>
        <w:t xml:space="preserve">          深府行复〔202</w:t>
      </w:r>
      <w:r>
        <w:t>4</w:t>
      </w:r>
      <w:r>
        <w:rPr>
          <w:rFonts w:hint="eastAsia"/>
        </w:rPr>
        <w:t>〕</w:t>
      </w:r>
      <w:r>
        <w:rPr>
          <w:rFonts w:hint="default"/>
          <w:lang w:val="en"/>
        </w:rPr>
        <w:t>1048</w:t>
      </w:r>
      <w:bookmarkStart w:id="0" w:name="_GoBack"/>
      <w:bookmarkEnd w:id="0"/>
      <w:r>
        <w:rPr>
          <w:rFonts w:hint="eastAsia"/>
        </w:rPr>
        <w:t>号</w:t>
      </w:r>
      <w:r>
        <w:rPr>
          <w:rFonts w:hint="eastAsia"/>
        </w:rPr>
        <w:tab/>
      </w:r>
    </w:p>
    <w:p>
      <w:pPr>
        <w:spacing w:line="560" w:lineRule="exact"/>
        <w:ind w:firstLine="640"/>
      </w:pPr>
      <w:r>
        <w:rPr>
          <w:rFonts w:hint="eastAsia"/>
        </w:rPr>
        <w:tab/>
      </w:r>
      <w:r>
        <w:rPr>
          <w:rFonts w:hint="eastAsia"/>
        </w:rPr>
        <w:tab/>
      </w:r>
    </w:p>
    <w:p>
      <w:pPr>
        <w:spacing w:line="560" w:lineRule="exact"/>
        <w:ind w:firstLine="640"/>
      </w:pPr>
      <w:r>
        <w:rPr>
          <w:rFonts w:hint="eastAsia" w:ascii="黑体" w:hAnsi="黑体" w:eastAsia="黑体" w:cs="黑体"/>
        </w:rPr>
        <w:t>申请人</w:t>
      </w:r>
      <w:r>
        <w:rPr>
          <w:rFonts w:hint="eastAsia" w:hAnsi="黑体" w:cs="黑体"/>
        </w:rPr>
        <w:t>：</w:t>
      </w:r>
      <w:r>
        <w:rPr>
          <w:rFonts w:hAnsi="黑体" w:cs="黑体"/>
        </w:rPr>
        <w:t>谭</w:t>
      </w:r>
      <w:r>
        <w:rPr>
          <w:rFonts w:hint="eastAsia" w:hAnsi="黑体" w:cs="黑体"/>
        </w:rPr>
        <w:t>某</w:t>
      </w:r>
    </w:p>
    <w:p>
      <w:pPr>
        <w:spacing w:line="560" w:lineRule="exact"/>
        <w:ind w:firstLine="640"/>
      </w:pPr>
      <w:r>
        <w:rPr>
          <w:rFonts w:hint="eastAsia" w:ascii="黑体" w:hAnsi="黑体" w:eastAsia="黑体" w:cs="黑体"/>
        </w:rPr>
        <w:t>被申请人</w:t>
      </w:r>
      <w:r>
        <w:rPr>
          <w:rFonts w:hint="eastAsia"/>
        </w:rPr>
        <w:t>：深圳市公安局交通警察支队光明大队</w:t>
      </w:r>
    </w:p>
    <w:p>
      <w:pPr>
        <w:spacing w:line="560" w:lineRule="exact"/>
        <w:ind w:firstLine="640"/>
      </w:pPr>
      <w:r>
        <w:rPr>
          <w:rFonts w:hint="eastAsia"/>
        </w:rPr>
        <w:t>地址：深圳市光明区玉塘街道田湾路105号</w:t>
      </w:r>
    </w:p>
    <w:p>
      <w:pPr>
        <w:spacing w:line="560" w:lineRule="exact"/>
        <w:ind w:firstLine="640"/>
      </w:pPr>
      <w:r>
        <w:rPr>
          <w:rFonts w:hint="eastAsia"/>
        </w:rPr>
        <w:t>法定代表人：孙毅清，大队长</w:t>
      </w:r>
    </w:p>
    <w:p>
      <w:pPr>
        <w:wordWrap w:val="0"/>
        <w:spacing w:line="560" w:lineRule="exact"/>
        <w:ind w:firstLine="640"/>
      </w:pPr>
    </w:p>
    <w:p>
      <w:pPr>
        <w:wordWrap w:val="0"/>
        <w:spacing w:line="560" w:lineRule="exact"/>
        <w:ind w:firstLine="640"/>
      </w:pPr>
      <w:r>
        <w:rPr>
          <w:rFonts w:hint="eastAsia"/>
        </w:rPr>
        <w:t>申请人不服被申请人于</w:t>
      </w:r>
      <w:r>
        <w:t>2024年2月29日</w:t>
      </w:r>
      <w:r>
        <w:rPr>
          <w:rFonts w:hint="eastAsia"/>
        </w:rPr>
        <w:t>以</w:t>
      </w:r>
      <w:r>
        <w:t>《公安交通管理行政处罚决定书》（编号：××）</w:t>
      </w:r>
      <w:r>
        <w:rPr>
          <w:rFonts w:hint="eastAsia"/>
        </w:rPr>
        <w:t>作出的行政行为，向本机关申请行政复议，本机关</w:t>
      </w:r>
      <w:r>
        <w:t>已</w:t>
      </w:r>
      <w:r>
        <w:rPr>
          <w:rFonts w:hint="eastAsia"/>
        </w:rPr>
        <w:t>依法受理</w:t>
      </w:r>
      <w:r>
        <w:t>，并适用简易程序审理</w:t>
      </w:r>
      <w:r>
        <w:rPr>
          <w:rFonts w:hint="eastAsia"/>
        </w:rPr>
        <w:t>。被申请人向本机关提交了书面答复及作出该行政行为的有关证据和依据，本案现已审理终结。</w:t>
      </w:r>
    </w:p>
    <w:p>
      <w:pPr>
        <w:wordWrap w:val="0"/>
        <w:spacing w:line="560" w:lineRule="exact"/>
        <w:ind w:firstLine="640"/>
      </w:pPr>
      <w:r>
        <w:rPr>
          <w:rFonts w:hint="eastAsia" w:ascii="黑体" w:hAnsi="黑体" w:eastAsia="黑体" w:cs="黑体"/>
        </w:rPr>
        <w:t>经查</w:t>
      </w:r>
      <w:r>
        <w:rPr>
          <w:rFonts w:hint="eastAsia"/>
        </w:rPr>
        <w:t>：202</w:t>
      </w:r>
      <w:r>
        <w:t>3</w:t>
      </w:r>
      <w:r>
        <w:rPr>
          <w:rFonts w:hint="eastAsia"/>
        </w:rPr>
        <w:t>年</w:t>
      </w:r>
      <w:r>
        <w:t>12</w:t>
      </w:r>
      <w:r>
        <w:rPr>
          <w:rFonts w:hint="eastAsia"/>
        </w:rPr>
        <w:t>月</w:t>
      </w:r>
      <w:r>
        <w:t>30</w:t>
      </w:r>
      <w:r>
        <w:rPr>
          <w:rFonts w:hint="eastAsia"/>
        </w:rPr>
        <w:t>日</w:t>
      </w:r>
      <w:r>
        <w:t>9</w:t>
      </w:r>
      <w:r>
        <w:rPr>
          <w:rFonts w:hint="eastAsia"/>
        </w:rPr>
        <w:t>时</w:t>
      </w:r>
      <w:r>
        <w:t>57</w:t>
      </w:r>
      <w:r>
        <w:rPr>
          <w:rFonts w:hint="eastAsia"/>
        </w:rPr>
        <w:t>分</w:t>
      </w:r>
      <w:r>
        <w:t>许</w:t>
      </w:r>
      <w:r>
        <w:rPr>
          <w:rFonts w:hint="eastAsia"/>
        </w:rPr>
        <w:t>，申请</w:t>
      </w:r>
      <w:r>
        <w:rPr>
          <w:rFonts w:hint="eastAsia"/>
          <w:szCs w:val="32"/>
        </w:rPr>
        <w:t>人驾驶</w:t>
      </w:r>
      <w:r>
        <w:rPr>
          <w:szCs w:val="32"/>
        </w:rPr>
        <w:t>号牌为粤B××的</w:t>
      </w:r>
      <w:r>
        <w:rPr>
          <w:rFonts w:hint="eastAsia"/>
          <w:szCs w:val="32"/>
        </w:rPr>
        <w:t>小型</w:t>
      </w:r>
      <w:r>
        <w:rPr>
          <w:szCs w:val="32"/>
        </w:rPr>
        <w:t>轿车在田寮路的人行横道上</w:t>
      </w:r>
      <w:r>
        <w:rPr>
          <w:rFonts w:hint="eastAsia"/>
          <w:szCs w:val="32"/>
        </w:rPr>
        <w:t>违法停车</w:t>
      </w:r>
      <w:r>
        <w:rPr>
          <w:rFonts w:hint="eastAsia"/>
        </w:rPr>
        <w:t>。</w:t>
      </w:r>
    </w:p>
    <w:p>
      <w:pPr>
        <w:wordWrap w:val="0"/>
        <w:spacing w:line="560" w:lineRule="exact"/>
        <w:ind w:firstLine="640"/>
      </w:pPr>
      <w:r>
        <w:rPr>
          <w:rFonts w:hint="eastAsia"/>
        </w:rPr>
        <w:t>被申请人摄录的违法行为证据符合公安部门相关图像技术取证规范要求，</w:t>
      </w:r>
      <w:r>
        <w:rPr>
          <w:rFonts w:hint="eastAsia"/>
          <w:szCs w:val="32"/>
        </w:rPr>
        <w:t>机动车类型、号牌、外观等特点清晰，违法时间、地点、事实准确，以上事实有被申请人提交的相关证据证明</w:t>
      </w:r>
      <w:r>
        <w:rPr>
          <w:rFonts w:hint="eastAsia"/>
        </w:rPr>
        <w:t>。</w:t>
      </w:r>
    </w:p>
    <w:p>
      <w:pPr>
        <w:wordWrap w:val="0"/>
        <w:spacing w:line="560" w:lineRule="exact"/>
        <w:ind w:firstLine="640"/>
      </w:pPr>
      <w:r>
        <w:t>2024年2月29日，</w:t>
      </w:r>
      <w:r>
        <w:rPr>
          <w:rFonts w:hint="eastAsia"/>
        </w:rPr>
        <w:t>申请人</w:t>
      </w:r>
      <w:r>
        <w:t>通过线上接受</w:t>
      </w:r>
      <w:r>
        <w:rPr>
          <w:rFonts w:hint="eastAsia"/>
        </w:rPr>
        <w:t>处理</w:t>
      </w:r>
      <w:r>
        <w:t>。</w:t>
      </w:r>
      <w:r>
        <w:rPr>
          <w:rFonts w:hint="eastAsia"/>
        </w:rPr>
        <w:t>被申请人告知申请人拟作出行政处罚决定的事实、理由、依据，以及其享有的陈述、申辩的权利。被申请人在听取申请人的陈述和申辩后，认为其理由不成立，对其作出</w:t>
      </w:r>
      <w:r>
        <w:t>《公安交通管理行政处罚决定书》（编号：××）</w:t>
      </w:r>
      <w:r>
        <w:rPr>
          <w:rFonts w:hint="eastAsia"/>
        </w:rPr>
        <w:t>，决定处以</w:t>
      </w:r>
      <w:r>
        <w:t>10</w:t>
      </w:r>
      <w:r>
        <w:rPr>
          <w:rFonts w:hint="eastAsia"/>
        </w:rPr>
        <w:t>00元罚款。申请人不服，向本机关申请行政复议。</w:t>
      </w:r>
    </w:p>
    <w:p>
      <w:pPr>
        <w:spacing w:line="560" w:lineRule="exact"/>
        <w:ind w:firstLine="640"/>
      </w:pPr>
      <w:r>
        <w:rPr>
          <w:rFonts w:hint="eastAsia" w:ascii="黑体" w:hAnsi="黑体" w:eastAsia="黑体" w:cs="黑体"/>
        </w:rPr>
        <w:t>本机关认为：</w:t>
      </w:r>
      <w:r>
        <w:rPr>
          <w:rFonts w:hint="eastAsia" w:hAnsi="黑体" w:cs="黑体"/>
        </w:rPr>
        <w:t>依据《中华人民共和国道路交通安全法》第一百一十四条规定：“</w:t>
      </w:r>
      <w:r>
        <w:rPr>
          <w:rFonts w:hint="eastAsia" w:hAnsi="Tahoma" w:cs="Tahoma"/>
          <w:color w:val="000000" w:themeColor="text1"/>
          <w:kern w:val="0"/>
          <w:szCs w:val="32"/>
          <w14:textFill>
            <w14:solidFill>
              <w14:schemeClr w14:val="tx1"/>
            </w14:solidFill>
          </w14:textFill>
        </w:rPr>
        <w:t>公安机关交通管理部门根据交通技术监控记录资料，可以对违法的机动车所有人或者管理人依法予以处罚。对能够确定驾驶人的，可以依照本法的规定依法予以处罚。</w:t>
      </w:r>
      <w:r>
        <w:rPr>
          <w:rFonts w:hint="eastAsia" w:hAnsi="黑体" w:cs="黑体"/>
        </w:rPr>
        <w:t>”</w:t>
      </w:r>
      <w:r>
        <w:rPr>
          <w:rFonts w:hint="eastAsia"/>
          <w:szCs w:val="32"/>
        </w:rPr>
        <w:t>《深圳经济特区道路交通安全违法行为处罚条例》第十二条规定：“</w:t>
      </w:r>
      <w:r>
        <w:rPr>
          <w:rFonts w:hint="eastAsia" w:hAnsi="微软雅黑" w:cs="宋体"/>
          <w:color w:val="040404"/>
          <w:kern w:val="0"/>
          <w:szCs w:val="32"/>
        </w:rPr>
        <w:t>违反道路交通安全法律、法规关于机动车停放、临时停车规定的，处二百元以上二千元以下罚款。”</w:t>
      </w:r>
      <w:r>
        <w:rPr>
          <w:rFonts w:hint="eastAsia"/>
        </w:rPr>
        <w:t>《深圳市公安局交通警察局关于继续执行机动车违反停放、临时停车规定分档处罚具体执行标准的通告》［深公交（通）〔202</w:t>
      </w:r>
      <w:r>
        <w:t>3</w:t>
      </w:r>
      <w:r>
        <w:rPr>
          <w:rFonts w:hint="eastAsia"/>
        </w:rPr>
        <w:t>〕1</w:t>
      </w:r>
      <w:r>
        <w:t>33</w:t>
      </w:r>
      <w:r>
        <w:rPr>
          <w:rFonts w:hint="eastAsia"/>
        </w:rPr>
        <w:t>号］第二条第（二）项的规定</w:t>
      </w:r>
      <w:r>
        <w:t>：</w:t>
      </w:r>
      <w:r>
        <w:rPr>
          <w:rFonts w:hint="eastAsia"/>
        </w:rPr>
        <w:t>“在下列道路、路段、部位违规停车的，处1000元罚款：（二）小区、单位出入口，社会道路消防通道、盲道、人行横道、黄方格、公共汽车站点。”本案，申请人将涉案车辆违法停放于</w:t>
      </w:r>
      <w:r>
        <w:t>人行横道上，</w:t>
      </w:r>
      <w:r>
        <w:rPr>
          <w:rFonts w:hint="eastAsia"/>
        </w:rPr>
        <w:t>被申请人作出的行政处罚决定事实清楚，证据确凿，适用依据准确，程序合法，依法</w:t>
      </w:r>
      <w:r>
        <w:t>应</w:t>
      </w:r>
      <w:r>
        <w:rPr>
          <w:rFonts w:hint="eastAsia"/>
        </w:rPr>
        <w:t>予以维持。申请人主张</w:t>
      </w:r>
      <w:r>
        <w:t>涉案车辆并未压人行横道，是被申请人取证拍摄角度的缘故</w:t>
      </w:r>
      <w:r>
        <w:rPr>
          <w:rFonts w:hint="eastAsia"/>
        </w:rPr>
        <w:t>。</w:t>
      </w:r>
      <w:r>
        <w:t>本机关认为，在案证据显示，涉案车辆车身已压人行横道的大部份，申请人所述与事实不符，</w:t>
      </w:r>
      <w:r>
        <w:rPr>
          <w:rFonts w:hint="eastAsia"/>
        </w:rPr>
        <w:t>故本机关对</w:t>
      </w:r>
      <w:r>
        <w:t>申请人的上述</w:t>
      </w:r>
      <w:r>
        <w:rPr>
          <w:rFonts w:hint="eastAsia"/>
        </w:rPr>
        <w:t>主张不予支持。</w:t>
      </w:r>
    </w:p>
    <w:p>
      <w:pPr>
        <w:spacing w:line="560" w:lineRule="exact"/>
        <w:ind w:firstLine="640"/>
      </w:pPr>
      <w:r>
        <w:rPr>
          <w:rFonts w:hint="eastAsia"/>
        </w:rPr>
        <w:t>综上，根据《中华人民共和国行政复议法》第</w:t>
      </w:r>
      <w:r>
        <w:t>六十八条的规定</w:t>
      </w:r>
      <w:r>
        <w:rPr>
          <w:rFonts w:hint="eastAsia"/>
        </w:rPr>
        <w:t>，本机关作出复议决定如下：</w:t>
      </w:r>
    </w:p>
    <w:p>
      <w:pPr>
        <w:spacing w:line="560" w:lineRule="exact"/>
        <w:ind w:firstLine="640"/>
      </w:pPr>
      <w:r>
        <w:rPr>
          <w:rFonts w:hint="eastAsia"/>
        </w:rPr>
        <w:t>维持被申请人深圳市公安局交通警察支队</w:t>
      </w:r>
      <w:r>
        <w:t>光明</w:t>
      </w:r>
      <w:r>
        <w:rPr>
          <w:rFonts w:hint="eastAsia"/>
        </w:rPr>
        <w:t>大队以</w:t>
      </w:r>
      <w:r>
        <w:t>《公安交通管理行政处罚决定书》（编号：××）</w:t>
      </w:r>
      <w:r>
        <w:rPr>
          <w:rFonts w:hint="eastAsia"/>
        </w:rPr>
        <w:t>作出的行政行为。</w:t>
      </w:r>
    </w:p>
    <w:p>
      <w:pPr>
        <w:spacing w:line="560" w:lineRule="exact"/>
        <w:ind w:firstLine="640"/>
      </w:pPr>
      <w:r>
        <w:rPr>
          <w:rFonts w:hint="eastAsia"/>
        </w:rPr>
        <w:t>本复议决定书一经送达，即发生法律效力。申请人如对本</w:t>
      </w:r>
      <w:r>
        <w:t>复议</w:t>
      </w:r>
      <w:r>
        <w:rPr>
          <w:rFonts w:hint="eastAsia"/>
        </w:rPr>
        <w:t>决定不服，可自收到本复议决定</w:t>
      </w:r>
      <w:r>
        <w:t>书</w:t>
      </w:r>
      <w:r>
        <w:rPr>
          <w:rFonts w:hint="eastAsia"/>
        </w:rPr>
        <w:t>之日起十五日内</w:t>
      </w:r>
      <w:r>
        <w:t>依法</w:t>
      </w:r>
      <w:r>
        <w:rPr>
          <w:rFonts w:hint="eastAsia"/>
        </w:rPr>
        <w:t>向有管辖权的人民法院提起诉讼。</w:t>
      </w:r>
    </w:p>
    <w:p>
      <w:pPr>
        <w:spacing w:line="560" w:lineRule="exact"/>
        <w:ind w:firstLine="640"/>
      </w:pPr>
      <w:r>
        <w:rPr>
          <w:rFonts w:hint="eastAsia"/>
        </w:rPr>
        <w:tab/>
      </w:r>
    </w:p>
    <w:p>
      <w:pPr>
        <w:spacing w:line="560" w:lineRule="exact"/>
        <w:ind w:firstLine="320" w:firstLineChars="100"/>
      </w:pPr>
      <w:r>
        <w:rPr>
          <w:rFonts w:hint="eastAsia"/>
        </w:rPr>
        <w:tab/>
      </w:r>
      <w:r>
        <w:rPr>
          <w:rFonts w:hint="eastAsia"/>
        </w:rPr>
        <w:tab/>
      </w:r>
      <w:r>
        <w:rPr>
          <w:rFonts w:hint="eastAsia"/>
        </w:rPr>
        <w:tab/>
      </w:r>
      <w:r>
        <w:rPr>
          <w:rFonts w:hint="eastAsia"/>
        </w:rPr>
        <w:tab/>
      </w:r>
      <w:r>
        <w:rPr>
          <w:rFonts w:hint="eastAsia"/>
        </w:rPr>
        <w:t xml:space="preserve">                          </w:t>
      </w:r>
      <w:r>
        <w:t xml:space="preserve"> </w:t>
      </w:r>
      <w:r>
        <w:rPr>
          <w:rFonts w:hint="eastAsia"/>
        </w:rPr>
        <w:t>深圳市人民政府</w:t>
      </w:r>
    </w:p>
    <w:p>
      <w:pPr>
        <w:spacing w:line="560" w:lineRule="exact"/>
        <w:ind w:firstLine="6080" w:firstLineChars="1900"/>
      </w:pPr>
      <w:r>
        <w:rPr>
          <w:rFonts w:hint="eastAsia"/>
        </w:rPr>
        <w:t>202</w:t>
      </w:r>
      <w:r>
        <w:t>4</w:t>
      </w:r>
      <w:r>
        <w:rPr>
          <w:rFonts w:hint="eastAsia"/>
        </w:rPr>
        <w:t>年</w:t>
      </w:r>
      <w:r>
        <w:t>4</w:t>
      </w:r>
      <w:r>
        <w:rPr>
          <w:rFonts w:hint="eastAsia"/>
        </w:rPr>
        <w:t>月</w:t>
      </w:r>
      <w:r>
        <w:t>1</w:t>
      </w:r>
      <w:r>
        <w:rPr>
          <w:rFonts w:hint="eastAsia"/>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0" w:footer="0"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59264" behindDoc="0" locked="0" layoutInCell="1" allowOverlap="1">
              <wp:simplePos x="0" y="0"/>
              <wp:positionH relativeFrom="margin">
                <wp:posOffset>2253615</wp:posOffset>
              </wp:positionH>
              <wp:positionV relativeFrom="paragraph">
                <wp:posOffset>-828675</wp:posOffset>
              </wp:positionV>
              <wp:extent cx="1828800" cy="24511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2451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ind w:firstLine="360"/>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77.45pt;margin-top:-65.25pt;height:19.3pt;width:144pt;mso-position-horizontal-relative:margin;mso-wrap-style:none;z-index:251659264;mso-width-relative:page;mso-height-relative:page;" filled="f" stroked="f" coordsize="21600,21600" o:gfxdata="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B0P8VHbAAAADAEAAA8AAAAAAAAAAQAgAAAAOAAAAGRycy9kb3ducmV2LnhtbFBL&#10;AQIUABQAAAAIAIdO4kA2dOa9FgIAABgEAAAOAAAAAAAAAAEAIAAAAEABAABkcnMvZTJvRG9jLnht&#10;bFBLBQYAAAAABgAGAFkBAADIBQAAAAA=&#10;">
              <v:fill on="f" focussize="0,0"/>
              <v:stroke on="f" weight="0.5pt"/>
              <v:imagedata o:title=""/>
              <o:lock v:ext="edit" aspectratio="f"/>
              <v:textbox inset="0mm,0mm,0mm,0mm">
                <w:txbxContent>
                  <w:p>
                    <w:pPr>
                      <w:pStyle w:val="6"/>
                      <w:ind w:firstLine="360"/>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xMmYxMDc2Yzg1NzNlYzA3YWNiODNhYzZlZjQ2MTYifQ=="/>
  </w:docVars>
  <w:rsids>
    <w:rsidRoot w:val="002A44A1"/>
    <w:rsid w:val="002A44A1"/>
    <w:rsid w:val="002F2E74"/>
    <w:rsid w:val="006F5429"/>
    <w:rsid w:val="00751D4B"/>
    <w:rsid w:val="00A01E5E"/>
    <w:rsid w:val="00BC24EA"/>
    <w:rsid w:val="00E94602"/>
    <w:rsid w:val="064D14FF"/>
    <w:rsid w:val="0F3B42C1"/>
    <w:rsid w:val="137CAC97"/>
    <w:rsid w:val="13F01965"/>
    <w:rsid w:val="17634903"/>
    <w:rsid w:val="1A8A0673"/>
    <w:rsid w:val="1BA987F4"/>
    <w:rsid w:val="1C3F65D0"/>
    <w:rsid w:val="1CF692EA"/>
    <w:rsid w:val="1D222EB3"/>
    <w:rsid w:val="1FF50E8B"/>
    <w:rsid w:val="1FFF8135"/>
    <w:rsid w:val="21BB51E5"/>
    <w:rsid w:val="22446F17"/>
    <w:rsid w:val="24F96BD7"/>
    <w:rsid w:val="29FF9F96"/>
    <w:rsid w:val="2ADE4C65"/>
    <w:rsid w:val="2D7B4A14"/>
    <w:rsid w:val="2F7FFF69"/>
    <w:rsid w:val="2FAF9F25"/>
    <w:rsid w:val="30B35052"/>
    <w:rsid w:val="33FF4239"/>
    <w:rsid w:val="35AC3511"/>
    <w:rsid w:val="36D6DF84"/>
    <w:rsid w:val="37F599DC"/>
    <w:rsid w:val="38FB158D"/>
    <w:rsid w:val="397D4908"/>
    <w:rsid w:val="3D7F73A7"/>
    <w:rsid w:val="3DB3308C"/>
    <w:rsid w:val="3DEBD13B"/>
    <w:rsid w:val="3E76B1B5"/>
    <w:rsid w:val="3F9FA7C9"/>
    <w:rsid w:val="3FD54539"/>
    <w:rsid w:val="3FDE7A1B"/>
    <w:rsid w:val="46326194"/>
    <w:rsid w:val="4E7F7D01"/>
    <w:rsid w:val="4EFF8A57"/>
    <w:rsid w:val="570AB69F"/>
    <w:rsid w:val="58FD1A05"/>
    <w:rsid w:val="593349B2"/>
    <w:rsid w:val="59F7D889"/>
    <w:rsid w:val="59FB7D69"/>
    <w:rsid w:val="5BAFD6CF"/>
    <w:rsid w:val="5EF7FD68"/>
    <w:rsid w:val="5EFB5BC0"/>
    <w:rsid w:val="5F7F69C7"/>
    <w:rsid w:val="5F9D3A0A"/>
    <w:rsid w:val="5FBF4235"/>
    <w:rsid w:val="5FDFC939"/>
    <w:rsid w:val="60BC22B4"/>
    <w:rsid w:val="622B07CE"/>
    <w:rsid w:val="633BD887"/>
    <w:rsid w:val="66F72A76"/>
    <w:rsid w:val="672D15C3"/>
    <w:rsid w:val="67B60B47"/>
    <w:rsid w:val="67EF9257"/>
    <w:rsid w:val="67FD98C0"/>
    <w:rsid w:val="67FF5256"/>
    <w:rsid w:val="69EC9485"/>
    <w:rsid w:val="6BD511CA"/>
    <w:rsid w:val="6BEEC0C0"/>
    <w:rsid w:val="7137ABF8"/>
    <w:rsid w:val="719DFCDE"/>
    <w:rsid w:val="71EE6C3A"/>
    <w:rsid w:val="73BB1952"/>
    <w:rsid w:val="769FACD2"/>
    <w:rsid w:val="76EEFE07"/>
    <w:rsid w:val="76F7AA3B"/>
    <w:rsid w:val="7779DAED"/>
    <w:rsid w:val="77FDBCD9"/>
    <w:rsid w:val="77FE2054"/>
    <w:rsid w:val="7AEBD8F9"/>
    <w:rsid w:val="7BE2D6AC"/>
    <w:rsid w:val="7BFF0910"/>
    <w:rsid w:val="7CDF26F7"/>
    <w:rsid w:val="7DA82C01"/>
    <w:rsid w:val="7EEFF199"/>
    <w:rsid w:val="7F3FD24E"/>
    <w:rsid w:val="7FCF401B"/>
    <w:rsid w:val="7FD20745"/>
    <w:rsid w:val="7FE32037"/>
    <w:rsid w:val="7FEEC5A2"/>
    <w:rsid w:val="7FF508E4"/>
    <w:rsid w:val="7FF9B4D0"/>
    <w:rsid w:val="7FFD6E28"/>
    <w:rsid w:val="8DFB413B"/>
    <w:rsid w:val="A737A0B9"/>
    <w:rsid w:val="A75A7E8D"/>
    <w:rsid w:val="AF5B6723"/>
    <w:rsid w:val="B3747984"/>
    <w:rsid w:val="B7BE99C5"/>
    <w:rsid w:val="BB5F9380"/>
    <w:rsid w:val="BCFFD2A0"/>
    <w:rsid w:val="BD7F34B5"/>
    <w:rsid w:val="BDF33EE3"/>
    <w:rsid w:val="BDFF4EC3"/>
    <w:rsid w:val="BEDD3371"/>
    <w:rsid w:val="BF77A6D1"/>
    <w:rsid w:val="CC9E13FD"/>
    <w:rsid w:val="D2EBB71A"/>
    <w:rsid w:val="D8F9367C"/>
    <w:rsid w:val="DBFFD502"/>
    <w:rsid w:val="DEE38FED"/>
    <w:rsid w:val="DF6F8CCB"/>
    <w:rsid w:val="DFD3C38A"/>
    <w:rsid w:val="DFF82232"/>
    <w:rsid w:val="E7FFF30C"/>
    <w:rsid w:val="ECFED148"/>
    <w:rsid w:val="EEEF214B"/>
    <w:rsid w:val="EF7F88B0"/>
    <w:rsid w:val="EFAFCB60"/>
    <w:rsid w:val="EFDE0A31"/>
    <w:rsid w:val="EFEFB62F"/>
    <w:rsid w:val="EFF53055"/>
    <w:rsid w:val="EFF7BBE0"/>
    <w:rsid w:val="F59D502D"/>
    <w:rsid w:val="F67F0D2A"/>
    <w:rsid w:val="F6FFE38C"/>
    <w:rsid w:val="F7574AEA"/>
    <w:rsid w:val="F76FC761"/>
    <w:rsid w:val="F7BDA401"/>
    <w:rsid w:val="F8F680B6"/>
    <w:rsid w:val="F9FD2873"/>
    <w:rsid w:val="FABFD946"/>
    <w:rsid w:val="FB3FEDDB"/>
    <w:rsid w:val="FBF3E810"/>
    <w:rsid w:val="FDB92018"/>
    <w:rsid w:val="FEFFAC78"/>
    <w:rsid w:val="FF3FEA43"/>
    <w:rsid w:val="FF882FEA"/>
    <w:rsid w:val="FF8D65A3"/>
    <w:rsid w:val="FF9BB19F"/>
    <w:rsid w:val="FFAF4B55"/>
    <w:rsid w:val="FFBF28A6"/>
    <w:rsid w:val="FFC7FEE7"/>
    <w:rsid w:val="FFCF41E1"/>
    <w:rsid w:val="FFEF27CB"/>
    <w:rsid w:val="FFFC08DE"/>
    <w:rsid w:val="FFFE152D"/>
    <w:rsid w:val="FFFFF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880" w:firstLineChars="200"/>
      <w:jc w:val="both"/>
    </w:pPr>
    <w:rPr>
      <w:rFonts w:ascii="仿宋_GB2312" w:hAnsi="仿宋_GB2312" w:eastAsia="仿宋_GB2312" w:cs="仿宋_GB2312"/>
      <w:kern w:val="2"/>
      <w:sz w:val="32"/>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260" w:after="260" w:line="413" w:lineRule="auto"/>
      <w:jc w:val="center"/>
      <w:outlineLvl w:val="1"/>
    </w:pPr>
    <w:rPr>
      <w:rFonts w:ascii="Arial" w:hAnsi="Arial" w:eastAsia="幼圆"/>
      <w:b/>
    </w:rPr>
  </w:style>
  <w:style w:type="paragraph" w:styleId="4">
    <w:name w:val="heading 3"/>
    <w:basedOn w:val="1"/>
    <w:next w:val="1"/>
    <w:semiHidden/>
    <w:unhideWhenUsed/>
    <w:qFormat/>
    <w:uiPriority w:val="0"/>
    <w:pPr>
      <w:keepNext/>
      <w:keepLines/>
      <w:spacing w:before="260" w:after="260" w:line="413" w:lineRule="auto"/>
      <w:outlineLvl w:val="2"/>
    </w:pPr>
    <w:rPr>
      <w:b/>
      <w:sz w:val="24"/>
    </w:rPr>
  </w:style>
  <w:style w:type="paragraph" w:styleId="5">
    <w:name w:val="heading 4"/>
    <w:basedOn w:val="1"/>
    <w:next w:val="1"/>
    <w:semiHidden/>
    <w:unhideWhenUsed/>
    <w:qFormat/>
    <w:uiPriority w:val="0"/>
    <w:pPr>
      <w:keepNext/>
      <w:keepLines/>
      <w:spacing w:before="280" w:after="290" w:line="372" w:lineRule="auto"/>
      <w:outlineLvl w:val="3"/>
    </w:pPr>
    <w:rPr>
      <w:rFonts w:ascii="Arial" w:hAnsi="Arial" w:eastAsia="黑体"/>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footnote text"/>
    <w:basedOn w:val="1"/>
    <w:link w:val="11"/>
    <w:qFormat/>
    <w:uiPriority w:val="0"/>
    <w:pPr>
      <w:snapToGrid w:val="0"/>
      <w:spacing w:line="160" w:lineRule="exact"/>
      <w:jc w:val="left"/>
    </w:pPr>
    <w:rPr>
      <w:sz w:val="15"/>
    </w:rPr>
  </w:style>
  <w:style w:type="character" w:customStyle="1" w:styleId="11">
    <w:name w:val="脚注文本 字符"/>
    <w:link w:val="8"/>
    <w:qFormat/>
    <w:uiPriority w:val="0"/>
    <w:rPr>
      <w:rFonts w:eastAsia="仿宋_GB2312"/>
      <w:sz w:val="15"/>
    </w:rPr>
  </w:style>
  <w:style w:type="character" w:customStyle="1" w:styleId="12">
    <w:name w:val="列表1"/>
    <w:basedOn w:val="10"/>
    <w:qFormat/>
    <w:uiPriority w:val="0"/>
  </w:style>
  <w:style w:type="paragraph" w:customStyle="1" w:styleId="13">
    <w:name w:val="Revision"/>
    <w:hidden/>
    <w:unhideWhenUsed/>
    <w:qFormat/>
    <w:uiPriority w:val="99"/>
    <w:rPr>
      <w:rFonts w:ascii="仿宋_GB2312" w:hAnsi="仿宋_GB2312" w:eastAsia="仿宋_GB2312" w:cs="仿宋_GB2312"/>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183</Words>
  <Characters>1046</Characters>
  <Lines>8</Lines>
  <Paragraphs>2</Paragraphs>
  <TotalTime>2</TotalTime>
  <ScaleCrop>false</ScaleCrop>
  <LinksUpToDate>false</LinksUpToDate>
  <CharactersWithSpaces>1227</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2014-11-09T20:08:00Z</dcterms:created>
  <dc:creator>Administrator</dc:creator>
  <cp:lastModifiedBy>罗友敏</cp:lastModifiedBy>
  <dcterms:modified xsi:type="dcterms:W3CDTF">2024-08-19T09:57:52Z</dcterms:modified>
  <dc:title>深  圳  市  人  民  政  府</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757FB51C124B41C2A172666E5EF156EE</vt:lpwstr>
  </property>
</Properties>
</file>