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550" w:lineRule="exact"/>
        <w:jc w:val="center"/>
        <w:rPr>
          <w:rFonts w:hint="eastAsia" w:ascii="方正小标宋_GBK" w:hAnsi="方正小标宋_GBK" w:eastAsia="方正小标宋_GBK" w:cs="方正小标宋_GBK"/>
          <w:b w:val="0"/>
          <w:bCs w:val="0"/>
          <w:sz w:val="44"/>
        </w:rPr>
      </w:pPr>
      <w:r>
        <w:rPr>
          <w:rFonts w:hint="eastAsia" w:ascii="方正小标宋_GBK" w:hAnsi="方正小标宋_GBK" w:eastAsia="方正小标宋_GBK" w:cs="方正小标宋_GBK"/>
          <w:b w:val="0"/>
          <w:bCs w:val="0"/>
          <w:sz w:val="44"/>
        </w:rPr>
        <w:t>深  圳  市  人  民  政  府</w:t>
      </w:r>
    </w:p>
    <w:p>
      <w:pPr>
        <w:keepNext w:val="0"/>
        <w:keepLines w:val="0"/>
        <w:pageBreakBefore w:val="0"/>
        <w:widowControl w:val="0"/>
        <w:kinsoku/>
        <w:wordWrap w:val="0"/>
        <w:overflowPunct/>
        <w:topLinePunct w:val="0"/>
        <w:autoSpaceDE/>
        <w:autoSpaceDN/>
        <w:bidi w:val="0"/>
        <w:adjustRightInd/>
        <w:snapToGrid/>
        <w:spacing w:line="550" w:lineRule="exact"/>
        <w:jc w:val="center"/>
        <w:textAlignment w:val="auto"/>
        <w:rPr>
          <w:rFonts w:hint="eastAsia" w:ascii="方正小标宋_GBK" w:hAnsi="方正小标宋_GBK" w:eastAsia="方正小标宋_GBK" w:cs="方正小标宋_GBK"/>
          <w:b w:val="0"/>
          <w:bCs w:val="0"/>
          <w:sz w:val="44"/>
        </w:rPr>
      </w:pPr>
      <w:r>
        <w:rPr>
          <w:rFonts w:hint="eastAsia" w:ascii="方正小标宋_GBK" w:hAnsi="方正小标宋_GBK" w:eastAsia="方正小标宋_GBK" w:cs="方正小标宋_GBK"/>
          <w:b w:val="0"/>
          <w:bCs w:val="0"/>
          <w:sz w:val="44"/>
        </w:rPr>
        <w:t>行政复议决定书</w:t>
      </w:r>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50" w:lineRule="exact"/>
        <w:ind w:firstLine="5120" w:firstLineChars="1600"/>
        <w:textAlignment w:val="auto"/>
        <w:rPr>
          <w:rFonts w:ascii="仿宋_GB2312" w:eastAsia="仿宋_GB2312"/>
          <w:sz w:val="32"/>
          <w:szCs w:val="32"/>
        </w:rPr>
      </w:pPr>
      <w:r>
        <w:rPr>
          <w:rFonts w:hint="eastAsia" w:ascii="仿宋_GB2312" w:eastAsia="仿宋_GB2312"/>
          <w:sz w:val="32"/>
          <w:szCs w:val="32"/>
        </w:rPr>
        <w:t>深府行复〔20</w:t>
      </w:r>
      <w:r>
        <w:rPr>
          <w:rFonts w:hint="eastAsia" w:ascii="仿宋_GB2312" w:eastAsia="仿宋_GB2312"/>
          <w:sz w:val="32"/>
          <w:szCs w:val="32"/>
          <w:lang w:val="en-US" w:eastAsia="zh-CN"/>
        </w:rPr>
        <w:t>24</w:t>
      </w:r>
      <w:r>
        <w:rPr>
          <w:rFonts w:hint="eastAsia" w:ascii="仿宋_GB2312" w:eastAsia="仿宋_GB2312"/>
          <w:sz w:val="32"/>
          <w:szCs w:val="32"/>
        </w:rPr>
        <w:t>〕</w:t>
      </w:r>
      <w:r>
        <w:rPr>
          <w:rFonts w:hint="eastAsia" w:ascii="仿宋_GB2312" w:eastAsia="仿宋_GB2312"/>
          <w:sz w:val="32"/>
          <w:szCs w:val="32"/>
          <w:lang w:val="en-US" w:eastAsia="zh-CN"/>
        </w:rPr>
        <w:t>1049</w:t>
      </w:r>
      <w:r>
        <w:rPr>
          <w:rFonts w:hint="eastAsia" w:ascii="仿宋_GB2312" w:eastAsia="仿宋_GB2312"/>
          <w:sz w:val="32"/>
          <w:szCs w:val="32"/>
        </w:rPr>
        <w:t>号</w:t>
      </w:r>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rPr>
          <w:rFonts w:hint="default" w:ascii="仿宋_GB2312" w:hAnsi="仿宋" w:eastAsia="仿宋_GB2312"/>
          <w:color w:val="000000" w:themeColor="text1"/>
          <w:sz w:val="32"/>
          <w:szCs w:val="32"/>
          <w:lang w:val="en-US" w:eastAsia="zh-CN"/>
          <w14:textFill>
            <w14:solidFill>
              <w14:schemeClr w14:val="tx1"/>
            </w14:solidFill>
          </w14:textFill>
        </w:rPr>
      </w:pPr>
      <w:r>
        <w:rPr>
          <w:rFonts w:hint="eastAsia" w:ascii="黑体" w:eastAsia="黑体"/>
          <w:bCs/>
          <w:color w:val="000000" w:themeColor="text1"/>
          <w:sz w:val="32"/>
          <w14:textFill>
            <w14:solidFill>
              <w14:schemeClr w14:val="tx1"/>
            </w14:solidFill>
          </w14:textFill>
        </w:rPr>
        <w:t>申请人：</w:t>
      </w:r>
      <w:r>
        <w:rPr>
          <w:rFonts w:hint="eastAsia" w:ascii="仿宋" w:hAnsi="仿宋" w:eastAsia="仿宋"/>
          <w:sz w:val="32"/>
          <w:szCs w:val="32"/>
          <w:lang w:eastAsia="zh-CN"/>
        </w:rPr>
        <w:t>李某</w:t>
      </w:r>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rPr>
          <w:rFonts w:hint="eastAsia" w:ascii="仿宋_GB2312" w:hAnsi="仿宋" w:eastAsia="仿宋_GB2312"/>
          <w:sz w:val="32"/>
          <w:szCs w:val="32"/>
          <w:lang w:eastAsia="zh-CN"/>
        </w:rPr>
      </w:pPr>
      <w:r>
        <w:rPr>
          <w:rFonts w:hint="eastAsia" w:ascii="黑体" w:eastAsia="黑体"/>
          <w:bCs/>
          <w:sz w:val="32"/>
        </w:rPr>
        <w:t>被申请人：</w:t>
      </w:r>
      <w:r>
        <w:rPr>
          <w:rFonts w:hint="eastAsia" w:ascii="仿宋_GB2312" w:hAnsi="仿宋" w:eastAsia="仿宋_GB2312"/>
          <w:sz w:val="32"/>
          <w:szCs w:val="32"/>
        </w:rPr>
        <w:t>深圳市市场监督管理局</w:t>
      </w:r>
      <w:r>
        <w:rPr>
          <w:rFonts w:hint="eastAsia" w:ascii="仿宋_GB2312" w:hAnsi="仿宋" w:eastAsia="仿宋_GB2312"/>
          <w:sz w:val="32"/>
          <w:szCs w:val="32"/>
          <w:lang w:eastAsia="zh-CN"/>
        </w:rPr>
        <w:t>南山监管局</w:t>
      </w:r>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地址：深圳市南山区招商街道工业七路83号</w:t>
      </w:r>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rPr>
          <w:rFonts w:ascii="仿宋_GB2312" w:eastAsia="仿宋_GB2312"/>
          <w:sz w:val="32"/>
          <w:szCs w:val="32"/>
        </w:rPr>
      </w:pPr>
      <w:r>
        <w:rPr>
          <w:rFonts w:hint="eastAsia" w:ascii="仿宋_GB2312" w:hAnsi="仿宋" w:eastAsia="仿宋_GB2312"/>
          <w:sz w:val="32"/>
          <w:szCs w:val="32"/>
        </w:rPr>
        <w:t>法定代表人：崔红兵，局长</w:t>
      </w:r>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rPr>
          <w:rFonts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rPr>
          <w:rFonts w:ascii="仿宋_GB2312" w:eastAsia="仿宋_GB2312"/>
          <w:sz w:val="32"/>
          <w:szCs w:val="32"/>
        </w:rPr>
      </w:pPr>
      <w:r>
        <w:rPr>
          <w:rFonts w:hint="eastAsia" w:ascii="仿宋_GB2312" w:eastAsia="仿宋_GB2312"/>
          <w:sz w:val="32"/>
          <w:szCs w:val="32"/>
        </w:rPr>
        <w:t>申请人</w:t>
      </w:r>
      <w:r>
        <w:rPr>
          <w:rFonts w:hint="eastAsia" w:ascii="仿宋_GB2312" w:eastAsia="仿宋_GB2312"/>
          <w:sz w:val="32"/>
          <w:szCs w:val="32"/>
          <w:lang w:eastAsia="zh-CN"/>
        </w:rPr>
        <w:t>不服被申请人对其关于</w:t>
      </w:r>
      <w:r>
        <w:rPr>
          <w:rFonts w:hint="default" w:ascii="仿宋_GB2312" w:hAnsi="仿宋_GB2312" w:eastAsia="仿宋_GB2312" w:cs="仿宋_GB2312"/>
          <w:sz w:val="32"/>
          <w:szCs w:val="32"/>
          <w:lang w:val="en" w:eastAsia="zh-CN"/>
        </w:rPr>
        <w:t>××</w:t>
      </w:r>
      <w:r>
        <w:rPr>
          <w:rFonts w:hint="eastAsia" w:ascii="仿宋_GB2312" w:eastAsia="仿宋_GB2312"/>
          <w:sz w:val="32"/>
          <w:szCs w:val="32"/>
          <w:lang w:eastAsia="zh-CN"/>
        </w:rPr>
        <w:t>酒店管理（深圳）有限公司（以下称被举报人）的举报（编号：1440305002024020304282926）作出的不予立案决定</w:t>
      </w:r>
      <w:r>
        <w:rPr>
          <w:rFonts w:hint="eastAsia" w:ascii="仿宋_GB2312" w:eastAsia="仿宋_GB2312"/>
          <w:sz w:val="32"/>
          <w:szCs w:val="32"/>
        </w:rPr>
        <w:t>，向本机关申请行政复议。</w:t>
      </w:r>
      <w:r>
        <w:rPr>
          <w:rFonts w:ascii="仿宋_GB2312" w:hAnsi="仿宋_GB2312" w:eastAsia="仿宋_GB2312"/>
          <w:sz w:val="32"/>
          <w:szCs w:val="32"/>
        </w:rPr>
        <w:t>本机关依法受理</w:t>
      </w:r>
      <w:r>
        <w:rPr>
          <w:rFonts w:hint="eastAsia" w:ascii="仿宋_GB2312" w:hAnsi="仿宋_GB2312" w:eastAsia="仿宋_GB2312"/>
          <w:sz w:val="32"/>
          <w:szCs w:val="32"/>
          <w:lang w:eastAsia="zh-CN"/>
        </w:rPr>
        <w:t>，并适用普通程序审理。</w:t>
      </w:r>
      <w:r>
        <w:rPr>
          <w:rFonts w:hint="eastAsia" w:ascii="仿宋_GB2312" w:eastAsia="仿宋_GB2312"/>
          <w:sz w:val="32"/>
          <w:szCs w:val="32"/>
        </w:rPr>
        <w:t>被申请人向本机关提交了书面答复及有关证据和依据。本案现已审理终结。</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outlineLvl w:val="0"/>
        <w:rPr>
          <w:rFonts w:hint="eastAsia" w:ascii="仿宋_GB2312" w:hAnsi="宋体" w:eastAsia="仿宋_GB2312"/>
          <w:color w:val="000000"/>
          <w:sz w:val="32"/>
          <w:szCs w:val="32"/>
          <w:highlight w:val="none"/>
          <w:lang w:eastAsia="zh-CN"/>
        </w:rPr>
      </w:pPr>
      <w:r>
        <w:rPr>
          <w:rFonts w:hint="eastAsia" w:ascii="黑体" w:eastAsia="黑体"/>
          <w:bCs/>
          <w:sz w:val="32"/>
          <w:highlight w:val="none"/>
        </w:rPr>
        <w:t>经查：</w:t>
      </w:r>
      <w:r>
        <w:rPr>
          <w:rFonts w:hint="eastAsia" w:ascii="仿宋_GB2312" w:eastAsia="仿宋_GB2312"/>
          <w:bCs w:val="0"/>
          <w:sz w:val="32"/>
          <w:szCs w:val="32"/>
          <w:lang w:val="en-US" w:eastAsia="zh-CN"/>
        </w:rPr>
        <w:t>2024年2月3日，被申请人收到申请人的举报（编号：1440305002024020304282926），申请人称被举报人于2023年11月11日通过</w:t>
      </w:r>
      <w:r>
        <w:rPr>
          <w:rFonts w:hint="default" w:ascii="仿宋_GB2312" w:hAnsi="仿宋_GB2312" w:eastAsia="仿宋_GB2312" w:cs="仿宋_GB2312"/>
          <w:sz w:val="32"/>
          <w:szCs w:val="32"/>
          <w:lang w:val="en" w:eastAsia="zh-CN"/>
        </w:rPr>
        <w:t>××</w:t>
      </w:r>
      <w:r>
        <w:rPr>
          <w:rFonts w:hint="eastAsia" w:ascii="仿宋_GB2312" w:eastAsia="仿宋_GB2312"/>
          <w:bCs w:val="0"/>
          <w:sz w:val="32"/>
          <w:szCs w:val="32"/>
          <w:lang w:val="en-US" w:eastAsia="zh-CN"/>
        </w:rPr>
        <w:t>商城发布双十一活动房券“海南棋子湾开元度假村3天2晚鸟语花香房”，房券使用有效期为2023年10月24日至2024年7月10日，但申请人于2024年2月1日通过该券兑换房间时被提示该酒店不支持该房券使用，并发现多个日期均</w:t>
      </w:r>
      <w:r>
        <w:rPr>
          <w:rFonts w:hint="eastAsia" w:ascii="仿宋_GB2312" w:eastAsia="仿宋_GB2312"/>
          <w:bCs w:val="0"/>
          <w:sz w:val="32"/>
          <w:szCs w:val="32"/>
          <w:highlight w:val="none"/>
          <w:lang w:val="en-US" w:eastAsia="zh-CN"/>
        </w:rPr>
        <w:t>不支持使用。申请人认为被举报人发布虚假房券产品存在违法行为，要求予以查处</w:t>
      </w:r>
      <w:r>
        <w:rPr>
          <w:rFonts w:hint="eastAsia" w:ascii="仿宋_GB2312" w:hAnsi="宋体" w:eastAsia="仿宋_GB2312"/>
          <w:color w:val="00000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outlineLvl w:val="0"/>
        <w:rPr>
          <w:rFonts w:hint="eastAsia" w:ascii="仿宋_GB2312" w:hAnsi="宋体" w:eastAsia="仿宋_GB2312"/>
          <w:color w:val="000000"/>
          <w:sz w:val="32"/>
          <w:szCs w:val="32"/>
          <w:highlight w:val="none"/>
          <w:lang w:eastAsia="zh-CN"/>
        </w:rPr>
      </w:pPr>
      <w:r>
        <w:rPr>
          <w:rFonts w:hint="eastAsia" w:ascii="仿宋_GB2312" w:hAnsi="宋体" w:eastAsia="仿宋_GB2312"/>
          <w:color w:val="000000"/>
          <w:sz w:val="32"/>
          <w:szCs w:val="32"/>
          <w:highlight w:val="none"/>
        </w:rPr>
        <w:t>2024年2月5日</w:t>
      </w:r>
      <w:r>
        <w:rPr>
          <w:rFonts w:hint="eastAsia" w:ascii="仿宋_GB2312" w:hAnsi="宋体" w:eastAsia="仿宋_GB2312"/>
          <w:color w:val="000000"/>
          <w:sz w:val="32"/>
          <w:szCs w:val="32"/>
          <w:highlight w:val="none"/>
          <w:lang w:eastAsia="zh-CN"/>
        </w:rPr>
        <w:t>，被举报人向被申请人提交《情况说明》，称2</w:t>
      </w:r>
      <w:r>
        <w:rPr>
          <w:rFonts w:hint="eastAsia" w:ascii="仿宋_GB2312" w:hAnsi="宋体" w:eastAsia="仿宋_GB2312"/>
          <w:color w:val="000000"/>
          <w:sz w:val="32"/>
          <w:szCs w:val="32"/>
          <w:highlight w:val="none"/>
          <w:lang w:val="en-US" w:eastAsia="zh-CN"/>
        </w:rPr>
        <w:t>024年1月28日因误操作，将产品有效期（结束日期）提前</w:t>
      </w:r>
      <w:r>
        <w:rPr>
          <w:rFonts w:hint="eastAsia" w:ascii="仿宋_GB2312" w:hAnsi="宋体" w:eastAsia="仿宋_GB2312"/>
          <w:color w:val="000000"/>
          <w:sz w:val="32"/>
          <w:szCs w:val="32"/>
          <w:highlight w:val="none"/>
        </w:rPr>
        <w:t>，</w:t>
      </w:r>
      <w:r>
        <w:rPr>
          <w:rFonts w:hint="eastAsia" w:ascii="仿宋_GB2312" w:hAnsi="宋体" w:eastAsia="仿宋_GB2312"/>
          <w:color w:val="000000"/>
          <w:sz w:val="32"/>
          <w:szCs w:val="32"/>
          <w:highlight w:val="none"/>
          <w:lang w:eastAsia="zh-CN"/>
        </w:rPr>
        <w:t>导致</w:t>
      </w:r>
      <w:r>
        <w:rPr>
          <w:rFonts w:hint="eastAsia" w:ascii="仿宋_GB2312" w:hAnsi="宋体" w:eastAsia="仿宋_GB2312"/>
          <w:color w:val="000000"/>
          <w:sz w:val="32"/>
          <w:szCs w:val="32"/>
          <w:highlight w:val="none"/>
        </w:rPr>
        <w:t>申请人无法预订</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申请人</w:t>
      </w:r>
      <w:r>
        <w:rPr>
          <w:rFonts w:hint="eastAsia" w:ascii="仿宋_GB2312" w:hAnsi="宋体" w:eastAsia="仿宋_GB2312"/>
          <w:color w:val="000000"/>
          <w:sz w:val="32"/>
          <w:szCs w:val="32"/>
          <w:highlight w:val="none"/>
          <w:lang w:eastAsia="zh-CN"/>
        </w:rPr>
        <w:t>并未</w:t>
      </w:r>
      <w:r>
        <w:rPr>
          <w:rFonts w:hint="eastAsia" w:ascii="仿宋_GB2312" w:hAnsi="宋体" w:eastAsia="仿宋_GB2312"/>
          <w:color w:val="000000"/>
          <w:sz w:val="32"/>
          <w:szCs w:val="32"/>
          <w:highlight w:val="none"/>
        </w:rPr>
        <w:t>向其反映过</w:t>
      </w:r>
      <w:r>
        <w:rPr>
          <w:rFonts w:hint="eastAsia" w:ascii="仿宋_GB2312" w:hAnsi="宋体" w:eastAsia="仿宋_GB2312"/>
          <w:color w:val="000000"/>
          <w:sz w:val="32"/>
          <w:szCs w:val="32"/>
          <w:highlight w:val="none"/>
          <w:lang w:eastAsia="zh-CN"/>
        </w:rPr>
        <w:t>该</w:t>
      </w:r>
      <w:r>
        <w:rPr>
          <w:rFonts w:hint="eastAsia" w:ascii="仿宋_GB2312" w:hAnsi="宋体" w:eastAsia="仿宋_GB2312"/>
          <w:color w:val="000000"/>
          <w:sz w:val="32"/>
          <w:szCs w:val="32"/>
          <w:highlight w:val="none"/>
        </w:rPr>
        <w:t>情况</w:t>
      </w:r>
      <w:r>
        <w:rPr>
          <w:rFonts w:hint="eastAsia" w:ascii="仿宋_GB2312" w:hAnsi="宋体" w:eastAsia="仿宋_GB2312"/>
          <w:color w:val="000000"/>
          <w:sz w:val="32"/>
          <w:szCs w:val="32"/>
          <w:highlight w:val="none"/>
          <w:lang w:eastAsia="zh-CN"/>
        </w:rPr>
        <w:t>，其于</w:t>
      </w:r>
      <w:r>
        <w:rPr>
          <w:rFonts w:hint="eastAsia" w:ascii="仿宋_GB2312" w:hAnsi="宋体" w:eastAsia="仿宋_GB2312"/>
          <w:color w:val="000000"/>
          <w:sz w:val="32"/>
          <w:szCs w:val="32"/>
          <w:highlight w:val="none"/>
        </w:rPr>
        <w:t>2024年2月5日收到被申请人通知后，于</w:t>
      </w:r>
      <w:r>
        <w:rPr>
          <w:rFonts w:hint="eastAsia" w:ascii="仿宋_GB2312" w:hAnsi="宋体" w:eastAsia="仿宋_GB2312"/>
          <w:color w:val="000000"/>
          <w:sz w:val="32"/>
          <w:szCs w:val="32"/>
          <w:highlight w:val="none"/>
          <w:lang w:eastAsia="zh-CN"/>
        </w:rPr>
        <w:t>当日</w:t>
      </w:r>
      <w:r>
        <w:rPr>
          <w:rFonts w:hint="eastAsia" w:ascii="仿宋_GB2312" w:hAnsi="宋体" w:eastAsia="仿宋_GB2312"/>
          <w:color w:val="000000"/>
          <w:sz w:val="32"/>
          <w:szCs w:val="32"/>
          <w:highlight w:val="none"/>
        </w:rPr>
        <w:t>10点35分</w:t>
      </w:r>
      <w:r>
        <w:rPr>
          <w:rFonts w:hint="eastAsia" w:ascii="仿宋_GB2312" w:hAnsi="宋体" w:eastAsia="仿宋_GB2312"/>
          <w:color w:val="000000"/>
          <w:sz w:val="32"/>
          <w:szCs w:val="32"/>
          <w:highlight w:val="none"/>
          <w:lang w:eastAsia="zh-CN"/>
        </w:rPr>
        <w:t>将有效期设置进行恢复，</w:t>
      </w:r>
      <w:r>
        <w:rPr>
          <w:rFonts w:hint="eastAsia" w:ascii="仿宋_GB2312" w:hAnsi="宋体" w:eastAsia="仿宋_GB2312"/>
          <w:color w:val="000000"/>
          <w:sz w:val="32"/>
          <w:szCs w:val="32"/>
          <w:highlight w:val="none"/>
        </w:rPr>
        <w:t>更正为2024年7月10日，</w:t>
      </w:r>
      <w:r>
        <w:rPr>
          <w:rFonts w:hint="eastAsia" w:ascii="仿宋_GB2312" w:hAnsi="宋体" w:eastAsia="仿宋_GB2312"/>
          <w:color w:val="000000"/>
          <w:sz w:val="32"/>
          <w:szCs w:val="32"/>
          <w:highlight w:val="none"/>
          <w:lang w:eastAsia="zh-CN"/>
        </w:rPr>
        <w:t>并和申请人进行了电话沟通，告知已可以正常预订。有其他购买同一房券的顾客正常预订并入住，故不属于虚假宣传。</w:t>
      </w:r>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outlineLvl w:val="0"/>
        <w:rPr>
          <w:rFonts w:hint="default"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eastAsia="zh-CN"/>
        </w:rPr>
        <w:t>被举报人</w:t>
      </w:r>
      <w:r>
        <w:rPr>
          <w:rFonts w:hint="eastAsia" w:ascii="仿宋_GB2312" w:hAnsi="宋体" w:eastAsia="仿宋_GB2312"/>
          <w:color w:val="000000"/>
          <w:sz w:val="32"/>
          <w:szCs w:val="32"/>
          <w:highlight w:val="none"/>
        </w:rPr>
        <w:t>提供</w:t>
      </w:r>
      <w:r>
        <w:rPr>
          <w:rFonts w:hint="eastAsia" w:ascii="仿宋_GB2312" w:hAnsi="宋体" w:eastAsia="仿宋_GB2312"/>
          <w:color w:val="000000"/>
          <w:sz w:val="32"/>
          <w:szCs w:val="32"/>
          <w:highlight w:val="none"/>
          <w:lang w:eastAsia="zh-CN"/>
        </w:rPr>
        <w:t>了后台</w:t>
      </w:r>
      <w:r>
        <w:rPr>
          <w:rFonts w:hint="eastAsia" w:ascii="仿宋_GB2312" w:hAnsi="宋体" w:eastAsia="仿宋_GB2312"/>
          <w:color w:val="000000"/>
          <w:sz w:val="32"/>
          <w:szCs w:val="32"/>
          <w:highlight w:val="none"/>
        </w:rPr>
        <w:t>系统数据操作</w:t>
      </w:r>
      <w:r>
        <w:rPr>
          <w:rFonts w:hint="eastAsia" w:ascii="仿宋_GB2312" w:hAnsi="宋体" w:eastAsia="仿宋_GB2312"/>
          <w:color w:val="000000"/>
          <w:sz w:val="32"/>
          <w:szCs w:val="32"/>
          <w:highlight w:val="none"/>
          <w:lang w:eastAsia="zh-CN"/>
        </w:rPr>
        <w:t>记录，显示在</w:t>
      </w:r>
      <w:r>
        <w:rPr>
          <w:rFonts w:hint="eastAsia" w:ascii="仿宋_GB2312" w:hAnsi="宋体" w:eastAsia="仿宋_GB2312"/>
          <w:color w:val="000000"/>
          <w:sz w:val="32"/>
          <w:szCs w:val="32"/>
          <w:highlight w:val="none"/>
          <w:lang w:val="en-US" w:eastAsia="zh-CN"/>
        </w:rPr>
        <w:t>2023年1月28日21时02分，该产品的</w:t>
      </w:r>
      <w:r>
        <w:rPr>
          <w:rFonts w:hint="eastAsia" w:ascii="仿宋_GB2312" w:hAnsi="宋体" w:eastAsia="仿宋_GB2312"/>
          <w:color w:val="000000"/>
          <w:sz w:val="32"/>
          <w:szCs w:val="32"/>
          <w:highlight w:val="none"/>
          <w:lang w:eastAsia="zh-CN"/>
        </w:rPr>
        <w:t>“结束日期”由旧值“</w:t>
      </w:r>
      <w:r>
        <w:rPr>
          <w:rFonts w:hint="eastAsia" w:ascii="仿宋_GB2312" w:hAnsi="宋体" w:eastAsia="仿宋_GB2312"/>
          <w:color w:val="000000"/>
          <w:sz w:val="32"/>
          <w:szCs w:val="32"/>
          <w:highlight w:val="none"/>
          <w:lang w:val="en-US" w:eastAsia="zh-CN"/>
        </w:rPr>
        <w:t>24/07/10 23:59:59</w:t>
      </w:r>
      <w:r>
        <w:rPr>
          <w:rFonts w:hint="eastAsia" w:ascii="仿宋_GB2312" w:hAnsi="宋体" w:eastAsia="仿宋_GB2312"/>
          <w:color w:val="000000"/>
          <w:sz w:val="32"/>
          <w:szCs w:val="32"/>
          <w:highlight w:val="none"/>
          <w:lang w:eastAsia="zh-CN"/>
        </w:rPr>
        <w:t>”变更为新值“</w:t>
      </w:r>
      <w:r>
        <w:rPr>
          <w:rFonts w:hint="eastAsia" w:ascii="仿宋_GB2312" w:hAnsi="宋体" w:eastAsia="仿宋_GB2312"/>
          <w:color w:val="000000"/>
          <w:sz w:val="32"/>
          <w:szCs w:val="32"/>
          <w:highlight w:val="none"/>
          <w:lang w:val="en-US" w:eastAsia="zh-CN"/>
        </w:rPr>
        <w:t>23/12/01 23:59:59</w:t>
      </w:r>
      <w:r>
        <w:rPr>
          <w:rFonts w:hint="eastAsia" w:ascii="仿宋_GB2312" w:hAnsi="宋体" w:eastAsia="仿宋_GB2312"/>
          <w:color w:val="000000"/>
          <w:sz w:val="32"/>
          <w:szCs w:val="32"/>
          <w:highlight w:val="none"/>
          <w:lang w:eastAsia="zh-CN"/>
        </w:rPr>
        <w:t>”，又于</w:t>
      </w:r>
      <w:r>
        <w:rPr>
          <w:rFonts w:hint="eastAsia" w:ascii="仿宋_GB2312" w:hAnsi="宋体" w:eastAsia="仿宋_GB2312"/>
          <w:color w:val="000000"/>
          <w:sz w:val="32"/>
          <w:szCs w:val="32"/>
          <w:highlight w:val="none"/>
          <w:lang w:val="en-US" w:eastAsia="zh-CN"/>
        </w:rPr>
        <w:t>2024年2月5日10时35分由旧</w:t>
      </w:r>
      <w:r>
        <w:rPr>
          <w:rFonts w:hint="eastAsia" w:ascii="仿宋_GB2312" w:hAnsi="宋体" w:eastAsia="仿宋_GB2312"/>
          <w:color w:val="000000"/>
          <w:sz w:val="32"/>
          <w:szCs w:val="32"/>
          <w:highlight w:val="none"/>
          <w:lang w:eastAsia="zh-CN"/>
        </w:rPr>
        <w:t>值“</w:t>
      </w:r>
      <w:r>
        <w:rPr>
          <w:rFonts w:hint="eastAsia" w:ascii="仿宋_GB2312" w:hAnsi="宋体" w:eastAsia="仿宋_GB2312"/>
          <w:color w:val="000000"/>
          <w:sz w:val="32"/>
          <w:szCs w:val="32"/>
          <w:highlight w:val="none"/>
          <w:lang w:val="en-US" w:eastAsia="zh-CN"/>
        </w:rPr>
        <w:t>23/12/01 23:59:59</w:t>
      </w:r>
      <w:r>
        <w:rPr>
          <w:rFonts w:hint="eastAsia" w:ascii="仿宋_GB2312" w:hAnsi="宋体" w:eastAsia="仿宋_GB2312"/>
          <w:color w:val="000000"/>
          <w:sz w:val="32"/>
          <w:szCs w:val="32"/>
          <w:highlight w:val="none"/>
          <w:lang w:eastAsia="zh-CN"/>
        </w:rPr>
        <w:t>”变更为新值“</w:t>
      </w:r>
      <w:r>
        <w:rPr>
          <w:rFonts w:hint="eastAsia" w:ascii="仿宋_GB2312" w:hAnsi="宋体" w:eastAsia="仿宋_GB2312"/>
          <w:color w:val="000000"/>
          <w:sz w:val="32"/>
          <w:szCs w:val="32"/>
          <w:highlight w:val="none"/>
          <w:lang w:val="en-US" w:eastAsia="zh-CN"/>
        </w:rPr>
        <w:t>24/07/10 23:59:59</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w:t>
      </w:r>
      <w:r>
        <w:rPr>
          <w:rFonts w:hint="eastAsia" w:ascii="仿宋_GB2312" w:hAnsi="宋体" w:eastAsia="仿宋_GB2312"/>
          <w:color w:val="000000"/>
          <w:sz w:val="32"/>
          <w:szCs w:val="32"/>
          <w:highlight w:val="none"/>
          <w:lang w:eastAsia="zh-CN"/>
        </w:rPr>
        <w:t>被举报人还提供了另一名顾客的订单记录，显示该顾客购买的同一房券产品已核销并于</w:t>
      </w:r>
      <w:r>
        <w:rPr>
          <w:rFonts w:hint="eastAsia" w:ascii="仿宋_GB2312" w:hAnsi="宋体" w:eastAsia="仿宋_GB2312"/>
          <w:color w:val="000000"/>
          <w:sz w:val="32"/>
          <w:szCs w:val="32"/>
          <w:highlight w:val="none"/>
          <w:lang w:val="en-US" w:eastAsia="zh-CN"/>
        </w:rPr>
        <w:t>2024年2月4日-2月6日正常入住。</w:t>
      </w:r>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outlineLvl w:val="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rPr>
        <w:t>2024年2月7日，被申请人</w:t>
      </w:r>
      <w:r>
        <w:rPr>
          <w:rFonts w:hint="eastAsia" w:ascii="仿宋_GB2312" w:hAnsi="宋体" w:eastAsia="仿宋_GB2312"/>
          <w:color w:val="000000"/>
          <w:sz w:val="32"/>
          <w:szCs w:val="32"/>
          <w:highlight w:val="none"/>
          <w:lang w:eastAsia="zh-CN"/>
        </w:rPr>
        <w:t>以</w:t>
      </w:r>
      <w:r>
        <w:rPr>
          <w:rFonts w:hint="eastAsia" w:ascii="仿宋_GB2312" w:hAnsi="宋体" w:eastAsia="仿宋_GB2312"/>
          <w:color w:val="000000"/>
          <w:sz w:val="32"/>
          <w:szCs w:val="32"/>
          <w:highlight w:val="none"/>
        </w:rPr>
        <w:t>没有初步证据证明</w:t>
      </w:r>
      <w:r>
        <w:rPr>
          <w:rFonts w:hint="eastAsia" w:ascii="仿宋_GB2312" w:hAnsi="宋体" w:eastAsia="仿宋_GB2312"/>
          <w:color w:val="000000"/>
          <w:sz w:val="32"/>
          <w:szCs w:val="32"/>
          <w:highlight w:val="none"/>
          <w:lang w:eastAsia="zh-CN"/>
        </w:rPr>
        <w:t>被举报人</w:t>
      </w:r>
      <w:r>
        <w:rPr>
          <w:rFonts w:hint="eastAsia" w:ascii="仿宋_GB2312" w:hAnsi="宋体" w:eastAsia="仿宋_GB2312"/>
          <w:color w:val="000000"/>
          <w:sz w:val="32"/>
          <w:szCs w:val="32"/>
          <w:highlight w:val="none"/>
        </w:rPr>
        <w:t>存在违反市场监督管理法律、法规、规章的行为</w:t>
      </w:r>
      <w:r>
        <w:rPr>
          <w:rFonts w:hint="eastAsia" w:ascii="仿宋_GB2312" w:hAnsi="宋体" w:eastAsia="仿宋_GB2312"/>
          <w:color w:val="000000"/>
          <w:sz w:val="32"/>
          <w:szCs w:val="32"/>
          <w:highlight w:val="none"/>
          <w:lang w:eastAsia="zh-CN"/>
        </w:rPr>
        <w:t>为由</w:t>
      </w:r>
      <w:r>
        <w:rPr>
          <w:rFonts w:hint="eastAsia" w:ascii="仿宋_GB2312" w:hAnsi="宋体" w:eastAsia="仿宋_GB2312"/>
          <w:color w:val="000000"/>
          <w:sz w:val="32"/>
          <w:szCs w:val="32"/>
          <w:highlight w:val="none"/>
        </w:rPr>
        <w:t>，决定不予立案，并于</w:t>
      </w:r>
      <w:r>
        <w:rPr>
          <w:rFonts w:hint="eastAsia" w:ascii="仿宋_GB2312" w:hAnsi="宋体" w:eastAsia="仿宋_GB2312"/>
          <w:color w:val="000000"/>
          <w:sz w:val="32"/>
          <w:szCs w:val="32"/>
          <w:highlight w:val="none"/>
          <w:lang w:eastAsia="zh-CN"/>
        </w:rPr>
        <w:t>同日</w:t>
      </w:r>
      <w:r>
        <w:rPr>
          <w:rFonts w:hint="eastAsia" w:ascii="仿宋_GB2312" w:hAnsi="宋体" w:eastAsia="仿宋_GB2312"/>
          <w:color w:val="000000"/>
          <w:sz w:val="32"/>
          <w:szCs w:val="32"/>
          <w:highlight w:val="none"/>
        </w:rPr>
        <w:t>通过12315平台告知申请人</w:t>
      </w:r>
      <w:r>
        <w:rPr>
          <w:rFonts w:hint="eastAsia" w:ascii="仿宋_GB2312" w:hAnsi="宋体" w:eastAsia="仿宋_GB2312"/>
          <w:color w:val="000000"/>
          <w:sz w:val="32"/>
          <w:szCs w:val="32"/>
          <w:highlight w:val="none"/>
          <w:lang w:eastAsia="zh-CN"/>
        </w:rPr>
        <w:t>。</w:t>
      </w:r>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outlineLvl w:val="0"/>
        <w:rPr>
          <w:rFonts w:hint="eastAsia" w:ascii="仿宋_GB2312" w:eastAsia="仿宋_GB2312"/>
          <w:sz w:val="32"/>
          <w:szCs w:val="32"/>
        </w:rPr>
      </w:pPr>
      <w:r>
        <w:rPr>
          <w:rFonts w:hint="eastAsia" w:ascii="仿宋_GB2312" w:eastAsia="仿宋_GB2312" w:cs="Times New Roman"/>
          <w:sz w:val="32"/>
          <w:szCs w:val="32"/>
          <w:lang w:eastAsia="zh-CN"/>
        </w:rPr>
        <w:t>申请人不服被申请人对其举报作出的不予立案决定，申请行政复议</w:t>
      </w:r>
      <w:r>
        <w:rPr>
          <w:rFonts w:hint="eastAsia" w:ascii="仿宋_GB2312" w:eastAsia="仿宋_GB2312"/>
          <w:sz w:val="32"/>
          <w:szCs w:val="32"/>
        </w:rPr>
        <w:t>。</w:t>
      </w:r>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rPr>
          <w:rFonts w:hint="eastAsia" w:ascii="仿宋_GB2312" w:eastAsia="仿宋_GB2312"/>
          <w:bCs/>
          <w:sz w:val="32"/>
          <w:lang w:eastAsia="zh-CN"/>
        </w:rPr>
      </w:pPr>
      <w:r>
        <w:rPr>
          <w:rFonts w:hint="eastAsia" w:ascii="黑体" w:hAnsi="黑体" w:eastAsia="黑体" w:cs="黑体"/>
          <w:sz w:val="32"/>
          <w:szCs w:val="32"/>
        </w:rPr>
        <w:t>本机关认为：</w:t>
      </w:r>
      <w:r>
        <w:rPr>
          <w:rFonts w:hint="eastAsia" w:ascii="仿宋_GB2312" w:hAnsi="仿宋_GB2312" w:eastAsia="仿宋_GB2312" w:cs="Times New Roman"/>
          <w:bCs w:val="0"/>
          <w:kern w:val="2"/>
          <w:sz w:val="32"/>
          <w:szCs w:val="32"/>
          <w:lang w:eastAsia="zh-CN"/>
        </w:rPr>
        <w:t>《市场监督管理行政处罚程序规定》第十九条第一款规定：“经核查，符合下列条件的，应当立案：（一）有证据初步证明存在违反市场监督管理法律、法规、规章的行为；”</w:t>
      </w:r>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rPr>
          <w:rFonts w:hint="eastAsia" w:ascii="仿宋_GB2312" w:eastAsia="仿宋_GB2312"/>
          <w:bCs/>
          <w:sz w:val="32"/>
          <w:lang w:eastAsia="zh-CN"/>
        </w:rPr>
      </w:pPr>
      <w:r>
        <w:rPr>
          <w:rFonts w:hint="eastAsia" w:ascii="仿宋_GB2312" w:eastAsia="仿宋_GB2312"/>
          <w:bCs/>
          <w:sz w:val="32"/>
          <w:lang w:eastAsia="zh-CN"/>
        </w:rPr>
        <w:t>本案，申请人的举报事项为被举报人销售虚假房券产品。根据现有证据材料，有其他消费者购买了同一房券并在申请人所称无法使用的期间成功核销、入住，可以证明被举报人并非故意进行虚假宣传或开展虚假促销活动。申请人因被举报人的原因未能获得相应服务，其可依法通过民事途径要求被举报人承担有关法律责任，以维护自身权益。故被申请人以无证据初步证明存在违反市场监督管理法律、法规、规章的行为为由作出不予立案决定，并无不当，依法应予维持。</w:t>
      </w:r>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rPr>
          <w:rFonts w:ascii="仿宋_GB2312" w:hAnsi="仿宋" w:eastAsia="仿宋_GB2312"/>
          <w:sz w:val="32"/>
          <w:szCs w:val="32"/>
          <w:highlight w:val="none"/>
        </w:rPr>
      </w:pPr>
      <w:r>
        <w:rPr>
          <w:rFonts w:hint="eastAsia" w:ascii="仿宋_GB2312" w:eastAsia="仿宋_GB2312"/>
          <w:bCs/>
          <w:sz w:val="32"/>
          <w:lang w:eastAsia="zh-CN"/>
        </w:rPr>
        <w:t>综上，</w:t>
      </w:r>
      <w:r>
        <w:rPr>
          <w:rFonts w:hint="eastAsia" w:ascii="仿宋_GB2312" w:hAnsi="仿宋" w:eastAsia="仿宋_GB2312"/>
          <w:sz w:val="32"/>
          <w:szCs w:val="32"/>
          <w:highlight w:val="none"/>
          <w:lang w:eastAsia="zh-CN"/>
        </w:rPr>
        <w:t>依照</w:t>
      </w:r>
      <w:r>
        <w:rPr>
          <w:rFonts w:hint="eastAsia" w:ascii="仿宋_GB2312" w:hAnsi="仿宋" w:eastAsia="仿宋_GB2312"/>
          <w:sz w:val="32"/>
          <w:szCs w:val="32"/>
          <w:highlight w:val="none"/>
        </w:rPr>
        <w:t>《中华人民共和国行政复议法》第</w:t>
      </w:r>
      <w:r>
        <w:rPr>
          <w:rFonts w:hint="eastAsia" w:ascii="仿宋_GB2312" w:hAnsi="仿宋" w:eastAsia="仿宋_GB2312"/>
          <w:sz w:val="32"/>
          <w:szCs w:val="32"/>
          <w:highlight w:val="none"/>
          <w:lang w:eastAsia="zh-CN"/>
        </w:rPr>
        <w:t>六十八条</w:t>
      </w:r>
      <w:r>
        <w:rPr>
          <w:rFonts w:hint="eastAsia" w:ascii="仿宋_GB2312" w:hAnsi="仿宋" w:eastAsia="仿宋_GB2312"/>
          <w:sz w:val="32"/>
          <w:szCs w:val="32"/>
          <w:highlight w:val="none"/>
        </w:rPr>
        <w:t>的规定，本机关作出复议决定如下：</w:t>
      </w:r>
    </w:p>
    <w:p>
      <w:pPr>
        <w:keepNext w:val="0"/>
        <w:keepLines w:val="0"/>
        <w:pageBreakBefore w:val="0"/>
        <w:widowControl w:val="0"/>
        <w:suppressAutoHyphens w:val="0"/>
        <w:kinsoku/>
        <w:wordWrap w:val="0"/>
        <w:overflowPunct/>
        <w:topLinePunct w:val="0"/>
        <w:autoSpaceDE/>
        <w:autoSpaceDN/>
        <w:bidi w:val="0"/>
        <w:adjustRightInd/>
        <w:snapToGrid/>
        <w:spacing w:line="550" w:lineRule="exact"/>
        <w:ind w:firstLine="640" w:firstLineChars="200"/>
        <w:textAlignment w:val="auto"/>
        <w:rPr>
          <w:rFonts w:ascii="仿宋_GB2312" w:hAnsi="仿宋_GB2312" w:eastAsia="仿宋_GB2312"/>
          <w:kern w:val="2"/>
          <w:sz w:val="32"/>
          <w:szCs w:val="32"/>
        </w:rPr>
      </w:pPr>
      <w:r>
        <w:rPr>
          <w:rFonts w:hint="eastAsia" w:ascii="仿宋_GB2312" w:hAnsi="仿宋_GB2312" w:eastAsia="仿宋_GB2312"/>
          <w:sz w:val="32"/>
          <w:lang w:eastAsia="zh-CN"/>
        </w:rPr>
        <w:t>维持被</w:t>
      </w:r>
      <w:r>
        <w:rPr>
          <w:rFonts w:hint="eastAsia" w:ascii="仿宋_GB2312" w:hAnsi="仿宋_GB2312" w:eastAsia="仿宋_GB2312"/>
          <w:sz w:val="32"/>
        </w:rPr>
        <w:t>申请人</w:t>
      </w:r>
      <w:r>
        <w:rPr>
          <w:rFonts w:hint="eastAsia" w:ascii="仿宋_GB2312" w:hAnsi="仿宋" w:eastAsia="仿宋_GB2312"/>
          <w:color w:val="000000" w:themeColor="text1"/>
          <w:sz w:val="32"/>
          <w:szCs w:val="32"/>
          <w:lang w:eastAsia="zh-CN"/>
          <w14:textFill>
            <w14:solidFill>
              <w14:schemeClr w14:val="tx1"/>
            </w14:solidFill>
          </w14:textFill>
        </w:rPr>
        <w:t>深圳市市场监督管理局南山监管局对申请人关于</w:t>
      </w:r>
      <w:r>
        <w:rPr>
          <w:rFonts w:hint="default" w:ascii="仿宋_GB2312" w:hAnsi="仿宋_GB2312" w:eastAsia="仿宋_GB2312" w:cs="仿宋_GB2312"/>
          <w:sz w:val="32"/>
          <w:szCs w:val="32"/>
          <w:lang w:val="en" w:eastAsia="zh-CN"/>
        </w:rPr>
        <w:t>××</w:t>
      </w:r>
      <w:r>
        <w:rPr>
          <w:rFonts w:hint="eastAsia" w:ascii="仿宋_GB2312" w:hAnsi="仿宋" w:eastAsia="仿宋_GB2312"/>
          <w:color w:val="000000" w:themeColor="text1"/>
          <w:sz w:val="32"/>
          <w:szCs w:val="32"/>
          <w:lang w:eastAsia="zh-CN"/>
          <w14:textFill>
            <w14:solidFill>
              <w14:schemeClr w14:val="tx1"/>
            </w14:solidFill>
          </w14:textFill>
        </w:rPr>
        <w:t>酒店管理（深圳）有限公司的举报（编号：1440305002024020304282926）作出的不予立案决定</w:t>
      </w:r>
      <w:r>
        <w:rPr>
          <w:rFonts w:hint="eastAsia" w:ascii="仿宋_GB2312" w:hAnsi="仿宋_GB2312" w:eastAsia="仿宋_GB2312"/>
          <w:sz w:val="32"/>
        </w:rPr>
        <w:t>。</w:t>
      </w:r>
      <w:bookmarkStart w:id="0" w:name="_GoBack"/>
      <w:bookmarkEnd w:id="0"/>
    </w:p>
    <w:p>
      <w:pPr>
        <w:keepNext w:val="0"/>
        <w:keepLines w:val="0"/>
        <w:pageBreakBefore w:val="0"/>
        <w:widowControl w:val="0"/>
        <w:kinsoku/>
        <w:wordWrap w:val="0"/>
        <w:overflowPunct/>
        <w:topLinePunct w:val="0"/>
        <w:autoSpaceDE/>
        <w:autoSpaceDN/>
        <w:bidi w:val="0"/>
        <w:adjustRightInd/>
        <w:snapToGrid/>
        <w:spacing w:line="55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本复议决定书一经送达，即发生法律效力。申请人如对复议决定不服，可自收到本复议决定书之日起十五日内向有管辖权的人民法院提起诉讼。</w:t>
      </w:r>
    </w:p>
    <w:p>
      <w:pPr>
        <w:keepNext w:val="0"/>
        <w:keepLines w:val="0"/>
        <w:pageBreakBefore w:val="0"/>
        <w:widowControl w:val="0"/>
        <w:kinsoku/>
        <w:wordWrap w:val="0"/>
        <w:overflowPunct/>
        <w:topLinePunct w:val="0"/>
        <w:autoSpaceDE/>
        <w:autoSpaceDN/>
        <w:bidi w:val="0"/>
        <w:adjustRightInd/>
        <w:snapToGrid/>
        <w:spacing w:line="550" w:lineRule="exact"/>
        <w:ind w:firstLine="0" w:firstLineChars="0"/>
        <w:textAlignment w:val="auto"/>
        <w:rPr>
          <w:rFonts w:hint="eastAsia" w:ascii="仿宋_GB2312" w:hAnsi="仿宋"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50" w:lineRule="exact"/>
        <w:ind w:firstLine="0" w:firstLineChars="0"/>
        <w:textAlignment w:val="auto"/>
        <w:rPr>
          <w:rFonts w:hint="eastAsia" w:ascii="仿宋_GB2312" w:hAnsi="仿宋"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50" w:lineRule="exact"/>
        <w:ind w:firstLine="0" w:firstLineChars="0"/>
        <w:jc w:val="right"/>
        <w:textAlignment w:val="auto"/>
        <w:rPr>
          <w:rFonts w:hint="default" w:ascii="仿宋_GB2312" w:eastAsia="仿宋_GB2312"/>
          <w:sz w:val="32"/>
          <w:szCs w:val="32"/>
          <w:lang w:val="en-US" w:eastAsia="zh-CN"/>
        </w:rPr>
      </w:pPr>
      <w:r>
        <w:rPr>
          <w:rFonts w:hint="eastAsia" w:ascii="仿宋_GB2312" w:eastAsia="仿宋_GB2312"/>
          <w:sz w:val="32"/>
          <w:szCs w:val="32"/>
        </w:rPr>
        <w:t>深圳市人民政府</w:t>
      </w:r>
      <w:r>
        <w:rPr>
          <w:rFonts w:hint="eastAsia" w:ascii="仿宋_GB2312" w:eastAsia="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50" w:lineRule="exact"/>
        <w:textAlignment w:val="auto"/>
      </w:pPr>
      <w:r>
        <w:rPr>
          <w:rFonts w:hint="eastAsia" w:ascii="仿宋_GB2312" w:eastAsia="仿宋_GB2312"/>
          <w:sz w:val="32"/>
          <w:szCs w:val="32"/>
        </w:rPr>
        <w:t xml:space="preserve">                                 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6</w:t>
      </w:r>
      <w:r>
        <w:rPr>
          <w:rFonts w:hint="eastAsia" w:ascii="仿宋_GB2312" w:eastAsia="仿宋_GB2312"/>
          <w:sz w:val="32"/>
          <w:szCs w:val="32"/>
        </w:rPr>
        <w:t>日</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长城小标宋体">
    <w:panose1 w:val="02010609010101010101"/>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宋体S-超大字符集(SIP)">
    <w:panose1 w:val="03000509000000000000"/>
    <w:charset w:val="86"/>
    <w:family w:val="auto"/>
    <w:pitch w:val="default"/>
    <w:sig w:usb0="00000003" w:usb1="0A0E08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87127"/>
    </w:sdtPr>
    <w:sdtContent>
      <w:p>
        <w:pPr>
          <w:pStyle w:val="3"/>
          <w:jc w:val="center"/>
        </w:pPr>
        <w:r>
          <w:fldChar w:fldCharType="begin"/>
        </w:r>
        <w:r>
          <w:instrText xml:space="preserve"> PAGE   \* MERGEFORMAT </w:instrText>
        </w:r>
        <w:r>
          <w:fldChar w:fldCharType="separate"/>
        </w:r>
        <w:r>
          <w:rPr>
            <w:lang w:val="zh-CN"/>
          </w:rPr>
          <w:t>4</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mODQyMmI2OTAzMGM4MzQwMzRhY2MzMDZiZjAxODkifQ=="/>
  </w:docVars>
  <w:rsids>
    <w:rsidRoot w:val="002053F9"/>
    <w:rsid w:val="00101359"/>
    <w:rsid w:val="00161477"/>
    <w:rsid w:val="001B7853"/>
    <w:rsid w:val="001D7712"/>
    <w:rsid w:val="001F3A87"/>
    <w:rsid w:val="00200FEF"/>
    <w:rsid w:val="002053F9"/>
    <w:rsid w:val="00250E17"/>
    <w:rsid w:val="002B5C1F"/>
    <w:rsid w:val="00303EAB"/>
    <w:rsid w:val="00312965"/>
    <w:rsid w:val="003F6D8F"/>
    <w:rsid w:val="0046180C"/>
    <w:rsid w:val="00470107"/>
    <w:rsid w:val="005016F9"/>
    <w:rsid w:val="00545AE2"/>
    <w:rsid w:val="00571D4E"/>
    <w:rsid w:val="005840F1"/>
    <w:rsid w:val="00604EF0"/>
    <w:rsid w:val="00655A73"/>
    <w:rsid w:val="006D0A74"/>
    <w:rsid w:val="006E3520"/>
    <w:rsid w:val="00734824"/>
    <w:rsid w:val="007663C7"/>
    <w:rsid w:val="0078740F"/>
    <w:rsid w:val="007C76DA"/>
    <w:rsid w:val="007D37FD"/>
    <w:rsid w:val="007E14CD"/>
    <w:rsid w:val="00816FB3"/>
    <w:rsid w:val="00820691"/>
    <w:rsid w:val="00865743"/>
    <w:rsid w:val="008B4E40"/>
    <w:rsid w:val="008F7D6E"/>
    <w:rsid w:val="009433F2"/>
    <w:rsid w:val="00960644"/>
    <w:rsid w:val="009815E0"/>
    <w:rsid w:val="009A7EB1"/>
    <w:rsid w:val="00AB611A"/>
    <w:rsid w:val="00AC0F22"/>
    <w:rsid w:val="00AD275A"/>
    <w:rsid w:val="00B15DEB"/>
    <w:rsid w:val="00B32240"/>
    <w:rsid w:val="00BD349B"/>
    <w:rsid w:val="00C2103A"/>
    <w:rsid w:val="00C54C93"/>
    <w:rsid w:val="00C725EB"/>
    <w:rsid w:val="00CA54BD"/>
    <w:rsid w:val="00CC4862"/>
    <w:rsid w:val="00CE647C"/>
    <w:rsid w:val="00D32676"/>
    <w:rsid w:val="00D74A7E"/>
    <w:rsid w:val="00DA4910"/>
    <w:rsid w:val="00DB250C"/>
    <w:rsid w:val="00E410F2"/>
    <w:rsid w:val="00E45C5B"/>
    <w:rsid w:val="00EA67D3"/>
    <w:rsid w:val="00ED5A35"/>
    <w:rsid w:val="00F51DF7"/>
    <w:rsid w:val="00FA445D"/>
    <w:rsid w:val="03666207"/>
    <w:rsid w:val="068E7520"/>
    <w:rsid w:val="06F7899A"/>
    <w:rsid w:val="07B3EB98"/>
    <w:rsid w:val="09E71738"/>
    <w:rsid w:val="0E854C06"/>
    <w:rsid w:val="0F740572"/>
    <w:rsid w:val="11CDCC9D"/>
    <w:rsid w:val="14EBD162"/>
    <w:rsid w:val="1698189F"/>
    <w:rsid w:val="16F9F119"/>
    <w:rsid w:val="16FEF953"/>
    <w:rsid w:val="171E4E16"/>
    <w:rsid w:val="17CF4589"/>
    <w:rsid w:val="1DB4D9E6"/>
    <w:rsid w:val="1EFF6380"/>
    <w:rsid w:val="1F7762C9"/>
    <w:rsid w:val="1FF9E951"/>
    <w:rsid w:val="201E150E"/>
    <w:rsid w:val="237DD338"/>
    <w:rsid w:val="27533AD6"/>
    <w:rsid w:val="27B5A006"/>
    <w:rsid w:val="27BF8AE1"/>
    <w:rsid w:val="2ACF8EDE"/>
    <w:rsid w:val="2CD64449"/>
    <w:rsid w:val="2CDE29E0"/>
    <w:rsid w:val="2D437C41"/>
    <w:rsid w:val="2DFD0EBF"/>
    <w:rsid w:val="2E7735C0"/>
    <w:rsid w:val="2F1756F5"/>
    <w:rsid w:val="2FDBF56F"/>
    <w:rsid w:val="2FF3442E"/>
    <w:rsid w:val="33DC54AC"/>
    <w:rsid w:val="391111DD"/>
    <w:rsid w:val="3A675737"/>
    <w:rsid w:val="3AFF4CF3"/>
    <w:rsid w:val="3BDF1E9A"/>
    <w:rsid w:val="3BDFD8D3"/>
    <w:rsid w:val="3BFFCACF"/>
    <w:rsid w:val="3BFFE0A2"/>
    <w:rsid w:val="3CAEC9B3"/>
    <w:rsid w:val="3CF84C7E"/>
    <w:rsid w:val="3D7F38B4"/>
    <w:rsid w:val="3DD69E0D"/>
    <w:rsid w:val="3DDF7FB3"/>
    <w:rsid w:val="3E3FBAAC"/>
    <w:rsid w:val="3E75ED1B"/>
    <w:rsid w:val="3EFE1AEB"/>
    <w:rsid w:val="3EFFD253"/>
    <w:rsid w:val="3F3E016F"/>
    <w:rsid w:val="3F8D930E"/>
    <w:rsid w:val="3FFD9744"/>
    <w:rsid w:val="4B7C251C"/>
    <w:rsid w:val="4CBC70DA"/>
    <w:rsid w:val="4DFCC715"/>
    <w:rsid w:val="4EAD5266"/>
    <w:rsid w:val="4EBF4B54"/>
    <w:rsid w:val="4FB9C478"/>
    <w:rsid w:val="4FF27330"/>
    <w:rsid w:val="55BD6352"/>
    <w:rsid w:val="55DAB25C"/>
    <w:rsid w:val="57FA2207"/>
    <w:rsid w:val="57FD127A"/>
    <w:rsid w:val="58F757C0"/>
    <w:rsid w:val="5AF00436"/>
    <w:rsid w:val="5B458806"/>
    <w:rsid w:val="5B7228F1"/>
    <w:rsid w:val="5B927E37"/>
    <w:rsid w:val="5B9C1D11"/>
    <w:rsid w:val="5BD41714"/>
    <w:rsid w:val="5BDFBC7C"/>
    <w:rsid w:val="5C5FC880"/>
    <w:rsid w:val="5CA7E88B"/>
    <w:rsid w:val="5DAB1650"/>
    <w:rsid w:val="5DF1BF34"/>
    <w:rsid w:val="5DF85361"/>
    <w:rsid w:val="5EB15E19"/>
    <w:rsid w:val="5EF71C7E"/>
    <w:rsid w:val="5F3C5A50"/>
    <w:rsid w:val="5F6D40B2"/>
    <w:rsid w:val="5F7B8124"/>
    <w:rsid w:val="5F7DBEE7"/>
    <w:rsid w:val="5FBF5706"/>
    <w:rsid w:val="5FCD2E86"/>
    <w:rsid w:val="5FDF8178"/>
    <w:rsid w:val="5FDFCE4A"/>
    <w:rsid w:val="5FFD972E"/>
    <w:rsid w:val="5FFDAF6C"/>
    <w:rsid w:val="67CA4D7F"/>
    <w:rsid w:val="685E9AE3"/>
    <w:rsid w:val="691B5A31"/>
    <w:rsid w:val="6ADFF77D"/>
    <w:rsid w:val="6AEFB153"/>
    <w:rsid w:val="6BEE4A06"/>
    <w:rsid w:val="6CBF5594"/>
    <w:rsid w:val="6F1B3192"/>
    <w:rsid w:val="6F6B9648"/>
    <w:rsid w:val="6F6D01F8"/>
    <w:rsid w:val="6F7E254F"/>
    <w:rsid w:val="6FA80DAC"/>
    <w:rsid w:val="6FB6599E"/>
    <w:rsid w:val="6FD16901"/>
    <w:rsid w:val="6FEFB0A8"/>
    <w:rsid w:val="6FEFE7D7"/>
    <w:rsid w:val="6FF7A0EF"/>
    <w:rsid w:val="6FFDCDD3"/>
    <w:rsid w:val="6FFEB97F"/>
    <w:rsid w:val="70981AB3"/>
    <w:rsid w:val="716F99F1"/>
    <w:rsid w:val="7197770C"/>
    <w:rsid w:val="72172189"/>
    <w:rsid w:val="725D9A92"/>
    <w:rsid w:val="72EFD056"/>
    <w:rsid w:val="733A7661"/>
    <w:rsid w:val="739F6126"/>
    <w:rsid w:val="73BFA661"/>
    <w:rsid w:val="73D765B5"/>
    <w:rsid w:val="73E55E38"/>
    <w:rsid w:val="73F67BD9"/>
    <w:rsid w:val="73FFBA9D"/>
    <w:rsid w:val="768298C0"/>
    <w:rsid w:val="76CC2B70"/>
    <w:rsid w:val="76ED32CF"/>
    <w:rsid w:val="76F3CDA1"/>
    <w:rsid w:val="76FB890E"/>
    <w:rsid w:val="777F46BD"/>
    <w:rsid w:val="77A7C1E4"/>
    <w:rsid w:val="77AF16EC"/>
    <w:rsid w:val="77D9E721"/>
    <w:rsid w:val="77FD9E00"/>
    <w:rsid w:val="78393FFF"/>
    <w:rsid w:val="78FF998B"/>
    <w:rsid w:val="7937C29C"/>
    <w:rsid w:val="79FB34EF"/>
    <w:rsid w:val="7A7F8C0D"/>
    <w:rsid w:val="7BBFBF17"/>
    <w:rsid w:val="7BDF8D40"/>
    <w:rsid w:val="7BEF2CBC"/>
    <w:rsid w:val="7BF830CD"/>
    <w:rsid w:val="7BFEBDCE"/>
    <w:rsid w:val="7BFFC1A3"/>
    <w:rsid w:val="7C7FE1A7"/>
    <w:rsid w:val="7CB71F82"/>
    <w:rsid w:val="7CC9DFA0"/>
    <w:rsid w:val="7D0E3CFB"/>
    <w:rsid w:val="7D3F863A"/>
    <w:rsid w:val="7D667FA7"/>
    <w:rsid w:val="7D7B8FFB"/>
    <w:rsid w:val="7DB9D105"/>
    <w:rsid w:val="7DE69F61"/>
    <w:rsid w:val="7DFB1059"/>
    <w:rsid w:val="7DFFFF64"/>
    <w:rsid w:val="7E8B3EBA"/>
    <w:rsid w:val="7EAFF6ED"/>
    <w:rsid w:val="7EEF07BC"/>
    <w:rsid w:val="7EEFBAC7"/>
    <w:rsid w:val="7EF5AAFC"/>
    <w:rsid w:val="7EFB3D07"/>
    <w:rsid w:val="7EFF35C9"/>
    <w:rsid w:val="7F0BF335"/>
    <w:rsid w:val="7F5FCB0C"/>
    <w:rsid w:val="7F737E38"/>
    <w:rsid w:val="7F9F3A6D"/>
    <w:rsid w:val="7FB95BA6"/>
    <w:rsid w:val="7FC6DC71"/>
    <w:rsid w:val="7FD3789F"/>
    <w:rsid w:val="7FD76553"/>
    <w:rsid w:val="7FEFBFE6"/>
    <w:rsid w:val="7FF7A344"/>
    <w:rsid w:val="7FFB1859"/>
    <w:rsid w:val="7FFD32E8"/>
    <w:rsid w:val="7FFDE4CD"/>
    <w:rsid w:val="7FFE3560"/>
    <w:rsid w:val="7FFF1CB2"/>
    <w:rsid w:val="7FFF5DC0"/>
    <w:rsid w:val="7FFFC1F5"/>
    <w:rsid w:val="97B33CFA"/>
    <w:rsid w:val="97F763B0"/>
    <w:rsid w:val="97FCE22B"/>
    <w:rsid w:val="9F6D14C8"/>
    <w:rsid w:val="9F95A2C2"/>
    <w:rsid w:val="9FCD18E9"/>
    <w:rsid w:val="A73D0419"/>
    <w:rsid w:val="A7C789D5"/>
    <w:rsid w:val="AE6E0A67"/>
    <w:rsid w:val="AE8F7CBA"/>
    <w:rsid w:val="AF77B3C2"/>
    <w:rsid w:val="AF95FCD3"/>
    <w:rsid w:val="AFCD2D88"/>
    <w:rsid w:val="AFF26EDE"/>
    <w:rsid w:val="AFF740B1"/>
    <w:rsid w:val="AFFFD329"/>
    <w:rsid w:val="B0AD2B23"/>
    <w:rsid w:val="B1B91E14"/>
    <w:rsid w:val="B6B5783F"/>
    <w:rsid w:val="B6E77CEB"/>
    <w:rsid w:val="B6FD614B"/>
    <w:rsid w:val="B6FFB2AE"/>
    <w:rsid w:val="B7715028"/>
    <w:rsid w:val="B7FB04EA"/>
    <w:rsid w:val="B7FF6810"/>
    <w:rsid w:val="BBEDCEC1"/>
    <w:rsid w:val="BBFB068A"/>
    <w:rsid w:val="BBFB6940"/>
    <w:rsid w:val="BBFF07C5"/>
    <w:rsid w:val="BCB3231C"/>
    <w:rsid w:val="BCFB4518"/>
    <w:rsid w:val="BDBE985E"/>
    <w:rsid w:val="BDFD64A3"/>
    <w:rsid w:val="BE3A83A1"/>
    <w:rsid w:val="BE3B97F1"/>
    <w:rsid w:val="BF73C162"/>
    <w:rsid w:val="BF78C88F"/>
    <w:rsid w:val="BFB70A46"/>
    <w:rsid w:val="BFBB0EC5"/>
    <w:rsid w:val="BFC7FA7D"/>
    <w:rsid w:val="BFDB7CD1"/>
    <w:rsid w:val="BFFBCA99"/>
    <w:rsid w:val="BFFFD583"/>
    <w:rsid w:val="C5B91605"/>
    <w:rsid w:val="C6DFD9A1"/>
    <w:rsid w:val="C89FFA09"/>
    <w:rsid w:val="CBE8D945"/>
    <w:rsid w:val="CEDFA211"/>
    <w:rsid w:val="CEFCB4E8"/>
    <w:rsid w:val="CF4F557D"/>
    <w:rsid w:val="CFBF72BE"/>
    <w:rsid w:val="D37D4DA7"/>
    <w:rsid w:val="D3FF0CE9"/>
    <w:rsid w:val="D5FBD399"/>
    <w:rsid w:val="D77ECFEF"/>
    <w:rsid w:val="D7FDCA48"/>
    <w:rsid w:val="D92FDCC6"/>
    <w:rsid w:val="DA5E9009"/>
    <w:rsid w:val="DBBD3621"/>
    <w:rsid w:val="DBBF253D"/>
    <w:rsid w:val="DD5000E9"/>
    <w:rsid w:val="DD8D220F"/>
    <w:rsid w:val="DDDB8161"/>
    <w:rsid w:val="DDF3220F"/>
    <w:rsid w:val="DDF5B042"/>
    <w:rsid w:val="DDF745CC"/>
    <w:rsid w:val="DDF7A571"/>
    <w:rsid w:val="DF7C780C"/>
    <w:rsid w:val="DF98E085"/>
    <w:rsid w:val="DF9F7762"/>
    <w:rsid w:val="DFCDA8FC"/>
    <w:rsid w:val="DFDF3499"/>
    <w:rsid w:val="DFE37A16"/>
    <w:rsid w:val="DFF929A3"/>
    <w:rsid w:val="DFFB9BF4"/>
    <w:rsid w:val="DFFF77AC"/>
    <w:rsid w:val="E2FBE969"/>
    <w:rsid w:val="E35D657B"/>
    <w:rsid w:val="E66D5CAC"/>
    <w:rsid w:val="EBDB0000"/>
    <w:rsid w:val="EBF5D669"/>
    <w:rsid w:val="EC7F1E54"/>
    <w:rsid w:val="ECFF9EE0"/>
    <w:rsid w:val="ED5F6A78"/>
    <w:rsid w:val="ED9F3BA2"/>
    <w:rsid w:val="EDE1F669"/>
    <w:rsid w:val="EDE6FF91"/>
    <w:rsid w:val="EDFFB0D6"/>
    <w:rsid w:val="EE6FCAF0"/>
    <w:rsid w:val="EEFD64DF"/>
    <w:rsid w:val="EEFDD3F1"/>
    <w:rsid w:val="EF2F3093"/>
    <w:rsid w:val="EF5F0F0D"/>
    <w:rsid w:val="EFBD1A94"/>
    <w:rsid w:val="EFBD2431"/>
    <w:rsid w:val="EFBF2AAD"/>
    <w:rsid w:val="EFDC69CB"/>
    <w:rsid w:val="EFDDF6B2"/>
    <w:rsid w:val="EFEFD32B"/>
    <w:rsid w:val="EFF345A4"/>
    <w:rsid w:val="EFF9B35E"/>
    <w:rsid w:val="EFFBC39B"/>
    <w:rsid w:val="F175BCE9"/>
    <w:rsid w:val="F1E628C1"/>
    <w:rsid w:val="F1FE5CF5"/>
    <w:rsid w:val="F1FEE4EB"/>
    <w:rsid w:val="F2EB253F"/>
    <w:rsid w:val="F3E6A5BB"/>
    <w:rsid w:val="F3F64E2D"/>
    <w:rsid w:val="F3FBE480"/>
    <w:rsid w:val="F4F468F0"/>
    <w:rsid w:val="F4F61820"/>
    <w:rsid w:val="F5D9DA91"/>
    <w:rsid w:val="F5DB247E"/>
    <w:rsid w:val="F5DB706F"/>
    <w:rsid w:val="F5DD27A8"/>
    <w:rsid w:val="F5FB28B2"/>
    <w:rsid w:val="F5FBD021"/>
    <w:rsid w:val="F5FC8010"/>
    <w:rsid w:val="F5FFBDED"/>
    <w:rsid w:val="F5FFEEA3"/>
    <w:rsid w:val="F69DE4DD"/>
    <w:rsid w:val="F6D687D6"/>
    <w:rsid w:val="F6D7D81D"/>
    <w:rsid w:val="F6EFB721"/>
    <w:rsid w:val="F6FDE3A0"/>
    <w:rsid w:val="F6FFD3E3"/>
    <w:rsid w:val="F7BB96CF"/>
    <w:rsid w:val="F7BFE10F"/>
    <w:rsid w:val="F7DF5ABE"/>
    <w:rsid w:val="F7EF0D72"/>
    <w:rsid w:val="F7F0A22D"/>
    <w:rsid w:val="F7F27BE6"/>
    <w:rsid w:val="F7FBAB65"/>
    <w:rsid w:val="F7FEDD07"/>
    <w:rsid w:val="F93B0656"/>
    <w:rsid w:val="F96E39BF"/>
    <w:rsid w:val="F9CF7645"/>
    <w:rsid w:val="F9FF2AE1"/>
    <w:rsid w:val="FAEFC991"/>
    <w:rsid w:val="FAF582FD"/>
    <w:rsid w:val="FB7B9751"/>
    <w:rsid w:val="FB7BED9D"/>
    <w:rsid w:val="FB7E719B"/>
    <w:rsid w:val="FB9CBAF7"/>
    <w:rsid w:val="FBBD7840"/>
    <w:rsid w:val="FBCB0394"/>
    <w:rsid w:val="FBD7EBD5"/>
    <w:rsid w:val="FBDC9A1A"/>
    <w:rsid w:val="FBFBFADF"/>
    <w:rsid w:val="FBFE0F4A"/>
    <w:rsid w:val="FC9FE01E"/>
    <w:rsid w:val="FCE5B37E"/>
    <w:rsid w:val="FD2FA647"/>
    <w:rsid w:val="FD95026D"/>
    <w:rsid w:val="FDBC3AFC"/>
    <w:rsid w:val="FDBD0CA1"/>
    <w:rsid w:val="FDBF6C21"/>
    <w:rsid w:val="FDD5666C"/>
    <w:rsid w:val="FDD7E06D"/>
    <w:rsid w:val="FDDA1042"/>
    <w:rsid w:val="FDDB3ABD"/>
    <w:rsid w:val="FDFF1BD4"/>
    <w:rsid w:val="FDFF22FE"/>
    <w:rsid w:val="FE759ABD"/>
    <w:rsid w:val="FE7FE2DF"/>
    <w:rsid w:val="FEB683CC"/>
    <w:rsid w:val="FEBF66EB"/>
    <w:rsid w:val="FEDF25A6"/>
    <w:rsid w:val="FEF382D0"/>
    <w:rsid w:val="FEF6E961"/>
    <w:rsid w:val="FEFB3F56"/>
    <w:rsid w:val="FEFBF020"/>
    <w:rsid w:val="FEFFFE15"/>
    <w:rsid w:val="FF07B96D"/>
    <w:rsid w:val="FF390F34"/>
    <w:rsid w:val="FF3D05F2"/>
    <w:rsid w:val="FF3D1993"/>
    <w:rsid w:val="FF59CA45"/>
    <w:rsid w:val="FF7A5959"/>
    <w:rsid w:val="FF7B92A7"/>
    <w:rsid w:val="FF7F6A42"/>
    <w:rsid w:val="FF8DD4AB"/>
    <w:rsid w:val="FF8F484D"/>
    <w:rsid w:val="FF9EDD10"/>
    <w:rsid w:val="FFBF526F"/>
    <w:rsid w:val="FFCDBDCE"/>
    <w:rsid w:val="FFD3FAF5"/>
    <w:rsid w:val="FFDCA111"/>
    <w:rsid w:val="FFDE7D31"/>
    <w:rsid w:val="FFDF67B8"/>
    <w:rsid w:val="FFEB1161"/>
    <w:rsid w:val="FFEEE7AD"/>
    <w:rsid w:val="FFEF5FDA"/>
    <w:rsid w:val="FFF30F26"/>
    <w:rsid w:val="FFF7927E"/>
    <w:rsid w:val="FFFB4477"/>
    <w:rsid w:val="FFFBA375"/>
    <w:rsid w:val="FFFC9405"/>
    <w:rsid w:val="FFFD08B8"/>
    <w:rsid w:val="FFFEAA98"/>
    <w:rsid w:val="FFFF2049"/>
    <w:rsid w:val="FFFF7E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uppressAutoHyphens w:val="0"/>
      <w:snapToGrid w:val="0"/>
      <w:jc w:val="left"/>
    </w:pPr>
    <w:rPr>
      <w:rFonts w:asciiTheme="minorHAnsi" w:hAnsiTheme="minorHAnsi" w:eastAsiaTheme="minorEastAsia" w:cstheme="minorBidi"/>
      <w:kern w:val="2"/>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uppressAutoHyphens w:val="0"/>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rFonts w:ascii="Times New Roman" w:hAnsi="Times New Roman" w:eastAsia="宋体" w:cs="Times New Roman"/>
      <w:kern w:val="0"/>
      <w:sz w:val="18"/>
      <w:szCs w:val="18"/>
    </w:rPr>
  </w:style>
  <w:style w:type="character" w:customStyle="1" w:styleId="10">
    <w:name w:val="列表1"/>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4</Pages>
  <Words>314</Words>
  <Characters>1791</Characters>
  <Lines>14</Lines>
  <Paragraphs>4</Paragraphs>
  <TotalTime>0</TotalTime>
  <ScaleCrop>false</ScaleCrop>
  <LinksUpToDate>false</LinksUpToDate>
  <CharactersWithSpaces>2101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2022-06-19T00:54:00Z</dcterms:created>
  <dc:creator>楚向月</dc:creator>
  <cp:lastModifiedBy>ฅ(˃̶̤́ ε ˂̶̤̀)ฅ♡ </cp:lastModifiedBy>
  <dcterms:modified xsi:type="dcterms:W3CDTF">2024-08-20T15:18:50Z</dcterms:modified>
  <dc:title>深  圳  市  人  民  政  府</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73673374F5CC4AFB84BC3E97070E34F4</vt:lpwstr>
  </property>
</Properties>
</file>