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0"/>
        <w:rPr>
          <w:rFonts w:ascii="方正小标宋_GBK" w:eastAsia="方正小标宋_GBK"/>
          <w:sz w:val="44"/>
          <w:szCs w:val="44"/>
        </w:rPr>
      </w:pPr>
      <w:r>
        <w:rPr>
          <w:rFonts w:ascii="方正小标宋_GBK" w:eastAsia="方正小标宋_GBK"/>
          <w:sz w:val="44"/>
          <w:szCs w:val="44"/>
        </w:rPr>
        <w:t>深  圳  市  人  民  政  府</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outlineLvl w:val="0"/>
        <w:rPr>
          <w:rFonts w:ascii="宋体" w:hAnsi="宋体"/>
          <w:bCs/>
          <w:sz w:val="44"/>
        </w:rPr>
      </w:pPr>
      <w:r>
        <w:rPr>
          <w:rFonts w:hint="eastAsia" w:ascii="方正小标宋_GBK" w:hAnsi="宋体" w:eastAsia="方正小标宋_GBK"/>
          <w:bCs/>
          <w:sz w:val="44"/>
        </w:rPr>
        <w:t>行政复议决定书</w:t>
      </w:r>
    </w:p>
    <w:p>
      <w:pPr>
        <w:keepNext w:val="0"/>
        <w:keepLines w:val="0"/>
        <w:pageBreakBefore w:val="0"/>
        <w:widowControl w:val="0"/>
        <w:kinsoku/>
        <w:wordWrap/>
        <w:overflowPunct/>
        <w:topLinePunct w:val="0"/>
        <w:autoSpaceDE/>
        <w:autoSpaceDN/>
        <w:bidi w:val="0"/>
        <w:adjustRightInd/>
        <w:snapToGrid/>
        <w:spacing w:line="620" w:lineRule="exact"/>
        <w:jc w:val="center"/>
        <w:textAlignment w:val="auto"/>
      </w:pPr>
    </w:p>
    <w:p>
      <w:pPr>
        <w:keepNext w:val="0"/>
        <w:keepLines w:val="0"/>
        <w:pageBreakBefore w:val="0"/>
        <w:widowControl w:val="0"/>
        <w:kinsoku/>
        <w:wordWrap/>
        <w:overflowPunct/>
        <w:topLinePunct w:val="0"/>
        <w:autoSpaceDE/>
        <w:autoSpaceDN/>
        <w:bidi w:val="0"/>
        <w:adjustRightInd/>
        <w:snapToGrid/>
        <w:spacing w:line="620" w:lineRule="exact"/>
        <w:jc w:val="right"/>
        <w:textAlignment w:val="auto"/>
        <w:rPr>
          <w:rFonts w:ascii="仿宋" w:hAnsi="仿宋" w:eastAsia="仿宋"/>
          <w:sz w:val="32"/>
        </w:rPr>
      </w:pPr>
      <w:r>
        <w:rPr>
          <w:rFonts w:hint="eastAsia" w:ascii="仿宋_GB2312" w:hAnsi="仿宋_GB2312" w:eastAsia="仿宋_GB2312" w:cs="仿宋_GB2312"/>
          <w:sz w:val="32"/>
          <w:szCs w:val="32"/>
        </w:rPr>
        <w:t>深府行复〔202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1065</w:t>
      </w:r>
      <w:r>
        <w:rPr>
          <w:rFonts w:hint="eastAsia" w:ascii="仿宋_GB2312" w:hAnsi="仿宋_GB2312" w:eastAsia="仿宋_GB2312" w:cs="仿宋_GB2312"/>
          <w:sz w:val="32"/>
          <w:szCs w:val="32"/>
        </w:rPr>
        <w:t>号</w:t>
      </w:r>
      <w:r>
        <w:rPr>
          <w:rFonts w:hint="eastAsia" w:ascii="仿宋" w:hAnsi="仿宋" w:eastAsia="仿宋" w:cs="仿宋_GB2312"/>
          <w:b/>
          <w:bCs/>
          <w:sz w:val="32"/>
          <w:szCs w:val="32"/>
        </w:rPr>
        <w:t xml:space="preserve"> </w:t>
      </w:r>
      <w:r>
        <w:rPr>
          <w:rFonts w:ascii="仿宋" w:hAnsi="仿宋" w:eastAsia="仿宋"/>
          <w:b/>
          <w:bCs/>
          <w:sz w:val="36"/>
        </w:rPr>
        <w:t xml:space="preserve">                        </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eastAsia="仿宋_GB2312"/>
          <w:sz w:val="32"/>
          <w:u w:val="single"/>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eastAsia="黑体"/>
          <w:sz w:val="32"/>
        </w:rPr>
        <w:t>申请人：</w:t>
      </w:r>
      <w:r>
        <w:rPr>
          <w:rFonts w:hint="eastAsia" w:ascii="仿宋_GB2312" w:hAnsi="仿宋_GB2312" w:eastAsia="仿宋_GB2312" w:cs="仿宋_GB2312"/>
          <w:color w:val="000000"/>
          <w:sz w:val="32"/>
          <w:szCs w:val="32"/>
          <w:lang w:val="zh-CN"/>
        </w:rPr>
        <w:t>李某</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eastAsia="黑体"/>
          <w:sz w:val="32"/>
        </w:rPr>
        <w:t>被申请人：</w:t>
      </w:r>
      <w:r>
        <w:rPr>
          <w:rFonts w:hint="eastAsia" w:ascii="仿宋_GB2312" w:hAnsi="仿宋_GB2312" w:eastAsia="仿宋_GB2312" w:cs="仿宋_GB2312"/>
          <w:sz w:val="32"/>
        </w:rPr>
        <w:t>深圳市市场监督管理局宝安监管局</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地址：深圳市宝安区新安街道翻身路75号</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法定代表人：周家贵，局长</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ascii="仿宋" w:hAnsi="仿宋" w:eastAsia="仿宋"/>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申请人不服被申请人对其关于</w:t>
      </w:r>
      <w:r>
        <w:rPr>
          <w:rFonts w:hint="eastAsia" w:ascii="仿宋_GB2312" w:hAnsi="仿宋_GB2312" w:eastAsia="仿宋_GB2312" w:cs="仿宋_GB2312"/>
          <w:color w:val="000000"/>
          <w:sz w:val="32"/>
          <w:szCs w:val="32"/>
          <w:lang w:eastAsia="zh-CN"/>
        </w:rPr>
        <w:t>深圳市××贸易有限公司</w:t>
      </w:r>
      <w:r>
        <w:rPr>
          <w:rFonts w:hint="eastAsia" w:ascii="仿宋_GB2312" w:hAnsi="仿宋_GB2312" w:eastAsia="仿宋_GB2312" w:cs="仿宋_GB2312"/>
          <w:color w:val="000000"/>
          <w:sz w:val="32"/>
          <w:szCs w:val="32"/>
        </w:rPr>
        <w:t>的举报（编号：</w:t>
      </w:r>
      <w:r>
        <w:rPr>
          <w:rFonts w:hint="eastAsia" w:ascii="仿宋_GB2312" w:hAnsi="仿宋_GB2312" w:eastAsia="仿宋_GB2312" w:cs="仿宋_GB2312"/>
          <w:color w:val="000000"/>
          <w:sz w:val="32"/>
          <w:szCs w:val="32"/>
          <w:lang w:val="en"/>
        </w:rPr>
        <w:t>1440306002023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)作出的不予立案决定，向本机关申请行政复议，</w:t>
      </w:r>
      <w:r>
        <w:rPr>
          <w:rFonts w:hint="eastAsia" w:ascii="仿宋_GB2312" w:hAnsi="仿宋_GB2312" w:eastAsia="仿宋_GB2312" w:cs="仿宋_GB2312"/>
          <w:sz w:val="32"/>
          <w:szCs w:val="32"/>
        </w:rPr>
        <w:t>本机关已依法受理</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sz w:val="32"/>
          <w:szCs w:val="32"/>
        </w:rPr>
        <w:t>被申请人向本机关提交了书面答复及作出该行政行为的有关证据和依据，本案现已审理终结。</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eastAsia="黑体"/>
          <w:sz w:val="32"/>
        </w:rPr>
        <w:t>经查：</w:t>
      </w:r>
      <w:r>
        <w:rPr>
          <w:rFonts w:hint="eastAsia" w:ascii="仿宋_GB2312" w:hAnsi="仿宋_GB2312" w:eastAsia="仿宋_GB2312" w:cs="仿宋_GB2312"/>
          <w:color w:val="000000"/>
          <w:sz w:val="32"/>
          <w:szCs w:val="32"/>
        </w:rPr>
        <w:t>2023年</w:t>
      </w: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19</w:t>
      </w:r>
      <w:r>
        <w:rPr>
          <w:rFonts w:hint="eastAsia" w:ascii="仿宋_GB2312" w:hAnsi="仿宋_GB2312" w:eastAsia="仿宋_GB2312" w:cs="仿宋_GB2312"/>
          <w:color w:val="000000"/>
          <w:sz w:val="32"/>
          <w:szCs w:val="32"/>
        </w:rPr>
        <w:t>日，被申请人收到申请人提起的举报（编号：</w:t>
      </w:r>
      <w:r>
        <w:rPr>
          <w:rFonts w:hint="eastAsia" w:ascii="仿宋_GB2312" w:hAnsi="仿宋_GB2312" w:eastAsia="仿宋_GB2312" w:cs="仿宋_GB2312"/>
          <w:color w:val="000000"/>
          <w:sz w:val="32"/>
          <w:szCs w:val="32"/>
          <w:lang w:val="en"/>
        </w:rPr>
        <w:t>1440306002023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）。申请人称其在</w:t>
      </w:r>
      <w:r>
        <w:rPr>
          <w:rFonts w:hint="eastAsia" w:ascii="仿宋_GB2312" w:hAnsi="仿宋_GB2312" w:eastAsia="仿宋_GB2312" w:cs="仿宋_GB2312"/>
          <w:color w:val="000000"/>
          <w:sz w:val="32"/>
          <w:szCs w:val="32"/>
          <w:lang w:eastAsia="zh-CN"/>
        </w:rPr>
        <w:t>深圳市××贸易有限公司</w:t>
      </w:r>
      <w:r>
        <w:rPr>
          <w:rFonts w:hint="eastAsia" w:ascii="仿宋_GB2312" w:hAnsi="仿宋_GB2312" w:eastAsia="仿宋_GB2312" w:cs="仿宋_GB2312"/>
          <w:color w:val="000000"/>
          <w:sz w:val="32"/>
          <w:szCs w:val="32"/>
        </w:rPr>
        <w:t>的店铺“</w:t>
      </w:r>
      <w:r>
        <w:rPr>
          <w:rFonts w:hint="default" w:ascii="仿宋_GB2312" w:hAnsi="仿宋_GB2312" w:eastAsia="仿宋_GB2312" w:cs="仿宋_GB2312"/>
          <w:color w:val="000000"/>
          <w:sz w:val="32"/>
          <w:szCs w:val="32"/>
          <w:lang w:val="en" w:eastAsia="zh-CN"/>
        </w:rPr>
        <w:t>××</w:t>
      </w:r>
      <w:r>
        <w:rPr>
          <w:rFonts w:hint="eastAsia" w:ascii="仿宋_GB2312" w:hAnsi="仿宋_GB2312" w:eastAsia="仿宋_GB2312" w:cs="仿宋_GB2312"/>
          <w:color w:val="000000"/>
          <w:sz w:val="32"/>
          <w:szCs w:val="32"/>
          <w:lang w:val="en-US" w:eastAsia="zh-CN"/>
        </w:rPr>
        <w:t>官方旗舰店</w:t>
      </w:r>
      <w:r>
        <w:rPr>
          <w:rFonts w:hint="eastAsia" w:ascii="仿宋_GB2312" w:hAnsi="仿宋_GB2312" w:eastAsia="仿宋_GB2312" w:cs="仿宋_GB2312"/>
          <w:color w:val="000000"/>
          <w:sz w:val="32"/>
          <w:szCs w:val="32"/>
        </w:rPr>
        <w:t>”购买的“不锈钢勺子”存在以下问题：1.无产品生产日期、</w:t>
      </w:r>
      <w:r>
        <w:rPr>
          <w:rFonts w:hint="eastAsia" w:ascii="仿宋_GB2312" w:hAnsi="仿宋_GB2312" w:eastAsia="仿宋_GB2312" w:cs="仿宋_GB2312"/>
          <w:color w:val="000000"/>
          <w:sz w:val="32"/>
          <w:szCs w:val="32"/>
          <w:lang w:eastAsia="zh-CN"/>
        </w:rPr>
        <w:t>适用时、</w:t>
      </w:r>
      <w:r>
        <w:rPr>
          <w:rFonts w:hint="eastAsia" w:ascii="仿宋_GB2312" w:hAnsi="仿宋_GB2312" w:eastAsia="仿宋_GB2312" w:cs="仿宋_GB2312"/>
          <w:color w:val="000000"/>
          <w:sz w:val="32"/>
          <w:szCs w:val="32"/>
        </w:rPr>
        <w:t>注意事项</w:t>
      </w:r>
      <w:r>
        <w:rPr>
          <w:rFonts w:hint="eastAsia" w:ascii="仿宋_GB2312" w:hAnsi="仿宋_GB2312" w:eastAsia="仿宋_GB2312" w:cs="仿宋_GB2312"/>
          <w:color w:val="000000"/>
          <w:sz w:val="32"/>
          <w:szCs w:val="32"/>
          <w:lang w:eastAsia="zh-CN"/>
        </w:rPr>
        <w:t>等重要信息</w:t>
      </w:r>
      <w:r>
        <w:rPr>
          <w:rFonts w:hint="eastAsia" w:ascii="仿宋_GB2312" w:hAnsi="仿宋_GB2312" w:eastAsia="仿宋_GB2312" w:cs="仿宋_GB2312"/>
          <w:color w:val="000000"/>
          <w:sz w:val="32"/>
          <w:szCs w:val="32"/>
        </w:rPr>
        <w:t>，也无产品检验合格证明，无法保证有足够信息对食品接触材料及制品进行安全性评估，违反其GB4806.1-2016中8.产品信息规定；2.有异味，毛刺较多，违反GB4806.9-2016中4.2感官要求规定，不符合其食品安全国家标准；3.购买该批次产品无《食品安全国家标准 食品接触材料及制品通用安全要求》GB4806.1-2016、《食品安全国家标准 食品接触金属材料及制品》GB4806.9-2016要求检测所有项目的出厂检验报告、产品检测报告等。要求被申请人依法查处</w:t>
      </w:r>
      <w:r>
        <w:rPr>
          <w:rFonts w:hint="eastAsia" w:ascii="仿宋_GB2312" w:hAnsi="仿宋_GB2312" w:eastAsia="仿宋_GB2312" w:cs="仿宋_GB2312"/>
          <w:color w:val="000000"/>
          <w:sz w:val="32"/>
          <w:szCs w:val="32"/>
          <w:lang w:eastAsia="zh-CN"/>
        </w:rPr>
        <w:t>、回复等</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2023年</w:t>
      </w:r>
      <w:r>
        <w:rPr>
          <w:rFonts w:hint="eastAsia" w:ascii="仿宋_GB2312" w:hAnsi="仿宋_GB2312" w:eastAsia="仿宋_GB2312" w:cs="仿宋_GB2312"/>
          <w:color w:val="000000"/>
          <w:sz w:val="32"/>
          <w:szCs w:val="32"/>
          <w:lang w:val="en-US" w:eastAsia="zh-CN"/>
        </w:rPr>
        <w:t>12</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29</w:t>
      </w:r>
      <w:r>
        <w:rPr>
          <w:rFonts w:hint="eastAsia" w:ascii="仿宋_GB2312" w:hAnsi="仿宋_GB2312" w:eastAsia="仿宋_GB2312" w:cs="仿宋_GB2312"/>
          <w:color w:val="000000"/>
          <w:sz w:val="32"/>
          <w:szCs w:val="32"/>
        </w:rPr>
        <w:t>日，被申请人对被举报人进行现场检查</w:t>
      </w:r>
      <w:r>
        <w:rPr>
          <w:rFonts w:hint="eastAsia" w:ascii="仿宋_GB2312" w:hAnsi="仿宋_GB2312" w:eastAsia="仿宋_GB2312" w:cs="仿宋_GB2312"/>
          <w:color w:val="000000"/>
          <w:sz w:val="32"/>
          <w:szCs w:val="32"/>
          <w:lang w:eastAsia="zh-CN"/>
        </w:rPr>
        <w:t>，被举报人承认申请人举报主张的产品确由被举报人售出，</w:t>
      </w:r>
      <w:r>
        <w:rPr>
          <w:rFonts w:hint="eastAsia" w:ascii="仿宋_GB2312" w:hAnsi="仿宋_GB2312" w:eastAsia="仿宋_GB2312" w:cs="仿宋_GB2312"/>
          <w:color w:val="000000"/>
          <w:sz w:val="32"/>
          <w:szCs w:val="32"/>
        </w:rPr>
        <w:t>在经营场所内未发现被举报的</w:t>
      </w:r>
      <w:r>
        <w:rPr>
          <w:rFonts w:hint="eastAsia" w:ascii="仿宋_GB2312" w:hAnsi="仿宋_GB2312" w:eastAsia="仿宋_GB2312" w:cs="仿宋_GB2312"/>
          <w:color w:val="000000"/>
          <w:sz w:val="32"/>
          <w:szCs w:val="32"/>
          <w:lang w:eastAsia="zh-CN"/>
        </w:rPr>
        <w:t>产品，被举报人主张涉案产品由揭阳发货。被举报人同时向被申请人提交委托加工合同、商标注册证、广东省揭阳市质量计量监督检测所出具的《检验报告》等材料。</w:t>
      </w:r>
      <w:r>
        <w:rPr>
          <w:rFonts w:hint="eastAsia" w:ascii="仿宋_GB2312" w:hAnsi="仿宋_GB2312" w:eastAsia="仿宋_GB2312" w:cs="仿宋_GB2312"/>
          <w:color w:val="000000"/>
          <w:sz w:val="32"/>
          <w:szCs w:val="32"/>
        </w:rPr>
        <w:t>《检验报告》显示所检项目符合GB4806.9-2016《食品安全国家标准 食品接触用金属材料及制品》</w:t>
      </w:r>
      <w:r>
        <w:rPr>
          <w:rFonts w:hint="eastAsia" w:ascii="仿宋_GB2312" w:hAnsi="仿宋_GB2312" w:eastAsia="仿宋_GB2312" w:cs="仿宋_GB2312"/>
          <w:color w:val="000000"/>
          <w:sz w:val="32"/>
          <w:szCs w:val="32"/>
          <w:lang w:eastAsia="zh-CN"/>
        </w:rPr>
        <w:t>等</w:t>
      </w:r>
      <w:r>
        <w:rPr>
          <w:rFonts w:hint="eastAsia" w:ascii="仿宋_GB2312" w:hAnsi="仿宋_GB2312" w:eastAsia="仿宋_GB2312" w:cs="仿宋_GB2312"/>
          <w:color w:val="000000"/>
          <w:sz w:val="32"/>
          <w:szCs w:val="32"/>
        </w:rPr>
        <w:t>要求</w:t>
      </w:r>
      <w:r>
        <w:rPr>
          <w:rFonts w:hint="eastAsia" w:ascii="仿宋_GB2312" w:hAnsi="仿宋_GB2312" w:eastAsia="仿宋_GB2312" w:cs="仿宋_GB2312"/>
          <w:color w:val="000000"/>
          <w:sz w:val="32"/>
          <w:szCs w:val="32"/>
          <w:lang w:eastAsia="zh-CN"/>
        </w:rPr>
        <w:t>，检验合格。</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经核查，</w:t>
      </w:r>
      <w:r>
        <w:rPr>
          <w:rFonts w:hint="eastAsia" w:ascii="仿宋_GB2312" w:hAnsi="仿宋_GB2312" w:eastAsia="仿宋_GB2312" w:cs="仿宋_GB2312"/>
          <w:color w:val="000000"/>
          <w:sz w:val="32"/>
          <w:szCs w:val="32"/>
        </w:rPr>
        <w:t>被申请人认为</w:t>
      </w:r>
      <w:r>
        <w:rPr>
          <w:rFonts w:hint="eastAsia" w:ascii="仿宋_GB2312" w:hAnsi="仿宋_GB2312" w:eastAsia="仿宋_GB2312" w:cs="仿宋_GB2312"/>
          <w:color w:val="000000"/>
          <w:sz w:val="32"/>
          <w:szCs w:val="32"/>
          <w:lang w:eastAsia="zh-CN"/>
        </w:rPr>
        <w:t>未发现被举报人存在违法行为</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于</w:t>
      </w: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月2日决定不予立案并于</w:t>
      </w:r>
      <w:r>
        <w:rPr>
          <w:rFonts w:hint="eastAsia" w:ascii="仿宋_GB2312" w:hAnsi="仿宋_GB2312" w:eastAsia="仿宋_GB2312" w:cs="仿宋_GB2312"/>
          <w:color w:val="000000"/>
          <w:sz w:val="32"/>
          <w:szCs w:val="32"/>
          <w:lang w:eastAsia="zh-CN"/>
        </w:rPr>
        <w:t>当日告知</w:t>
      </w:r>
      <w:r>
        <w:rPr>
          <w:rFonts w:hint="eastAsia" w:ascii="仿宋_GB2312" w:hAnsi="仿宋_GB2312" w:eastAsia="仿宋_GB2312" w:cs="仿宋_GB2312"/>
          <w:color w:val="000000"/>
          <w:sz w:val="32"/>
          <w:szCs w:val="32"/>
        </w:rPr>
        <w:t>申请人。申请人不服</w:t>
      </w:r>
      <w:r>
        <w:rPr>
          <w:rFonts w:hint="eastAsia" w:ascii="仿宋_GB2312" w:hAnsi="仿宋_GB2312" w:eastAsia="仿宋_GB2312" w:cs="仿宋_GB2312"/>
          <w:color w:val="000000"/>
          <w:sz w:val="32"/>
          <w:szCs w:val="32"/>
          <w:lang w:eastAsia="zh-CN"/>
        </w:rPr>
        <w:t>该</w:t>
      </w:r>
      <w:r>
        <w:rPr>
          <w:rFonts w:hint="eastAsia" w:ascii="仿宋_GB2312" w:hAnsi="仿宋_GB2312" w:eastAsia="仿宋_GB2312" w:cs="仿宋_GB2312"/>
          <w:color w:val="000000"/>
          <w:sz w:val="32"/>
          <w:szCs w:val="32"/>
        </w:rPr>
        <w:t>不予立案决定，</w:t>
      </w:r>
      <w:r>
        <w:rPr>
          <w:rFonts w:hint="eastAsia" w:ascii="仿宋_GB2312" w:hAnsi="仿宋_GB2312" w:eastAsia="仿宋_GB2312" w:cs="仿宋_GB2312"/>
          <w:color w:val="000000"/>
          <w:sz w:val="32"/>
          <w:szCs w:val="32"/>
          <w:lang w:eastAsia="zh-CN"/>
        </w:rPr>
        <w:t>向本机关申请行政复议，认为不予立案属未完全履行法定职责，</w:t>
      </w:r>
      <w:r>
        <w:rPr>
          <w:rFonts w:hint="eastAsia" w:ascii="仿宋_GB2312" w:hAnsi="仿宋_GB2312" w:eastAsia="仿宋_GB2312" w:cs="仿宋_GB2312"/>
          <w:color w:val="000000"/>
          <w:sz w:val="32"/>
          <w:szCs w:val="32"/>
        </w:rPr>
        <w:t>请求撤销</w:t>
      </w:r>
      <w:r>
        <w:rPr>
          <w:rFonts w:hint="eastAsia" w:ascii="仿宋_GB2312" w:hAnsi="仿宋_GB2312" w:eastAsia="仿宋_GB2312" w:cs="仿宋_GB2312"/>
          <w:color w:val="000000"/>
          <w:sz w:val="32"/>
          <w:szCs w:val="32"/>
          <w:lang w:eastAsia="zh-CN"/>
        </w:rPr>
        <w:t>不予立案，责令被申请人继续</w:t>
      </w:r>
      <w:r>
        <w:rPr>
          <w:rFonts w:hint="eastAsia" w:ascii="仿宋_GB2312" w:hAnsi="仿宋_GB2312" w:eastAsia="仿宋_GB2312" w:cs="仿宋_GB2312"/>
          <w:color w:val="000000"/>
          <w:sz w:val="32"/>
          <w:szCs w:val="32"/>
        </w:rPr>
        <w:t>履行未完全履行之法定市场监督职责，对申请人举报的产品问题调查核实并重新答复申请人。</w:t>
      </w:r>
      <w:r>
        <w:rPr>
          <w:rFonts w:hint="eastAsia" w:ascii="仿宋_GB2312" w:hAnsi="仿宋_GB2312" w:eastAsia="仿宋_GB2312" w:cs="仿宋_GB2312"/>
          <w:color w:val="000000"/>
          <w:sz w:val="32"/>
          <w:szCs w:val="32"/>
          <w:lang w:eastAsia="zh-CN"/>
        </w:rPr>
        <w:t>本机关于</w:t>
      </w:r>
      <w:r>
        <w:rPr>
          <w:rFonts w:hint="eastAsia" w:ascii="仿宋_GB2312" w:hAnsi="仿宋_GB2312" w:eastAsia="仿宋_GB2312" w:cs="仿宋_GB2312"/>
          <w:color w:val="000000"/>
          <w:sz w:val="32"/>
          <w:szCs w:val="32"/>
          <w:lang w:val="en-US" w:eastAsia="zh-CN"/>
        </w:rPr>
        <w:t>2024年3月4日收到行政复议申请，并于2024年3月11日受理。</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eastAsia="黑体"/>
          <w:sz w:val="32"/>
        </w:rPr>
        <w:t>本机关认为：</w:t>
      </w:r>
      <w:r>
        <w:rPr>
          <w:rFonts w:hint="eastAsia" w:ascii="仿宋_GB2312" w:hAnsi="仿宋_GB2312" w:eastAsia="仿宋_GB2312" w:cs="仿宋_GB2312"/>
          <w:color w:val="000000"/>
          <w:sz w:val="32"/>
          <w:szCs w:val="32"/>
        </w:rPr>
        <w:t>《市场监督管理行政处罚程序规定》第十八条第一款规定：“市场监督管理部门对依据监督检查职权或者通过投诉、举报、其他部门移送、上级交办等途径发现的违法行为线索，应当自发现线索或者收到材料之日起十五个工作日内予以核查，由市场监督管理部门负责人决定是否立案……”第十九条第一款规定：“经核查，符合下列条件的，应当立案：</w:t>
      </w:r>
      <w:bookmarkStart w:id="0" w:name="tiao_19_kuan_1_xiang_1"/>
      <w:bookmarkEnd w:id="0"/>
      <w:r>
        <w:rPr>
          <w:rFonts w:hint="eastAsia" w:ascii="仿宋_GB2312" w:hAnsi="仿宋_GB2312" w:eastAsia="仿宋_GB2312" w:cs="仿宋_GB2312"/>
          <w:color w:val="000000"/>
          <w:sz w:val="32"/>
          <w:szCs w:val="32"/>
        </w:rPr>
        <w:t>（一）有证据初步证明存在违反市场监督管理法律、法规、规章的行为；</w:t>
      </w:r>
      <w:bookmarkStart w:id="1" w:name="tiao_19_kuan_1_xiang_2"/>
      <w:bookmarkEnd w:id="1"/>
      <w:r>
        <w:rPr>
          <w:rFonts w:hint="eastAsia" w:ascii="仿宋_GB2312" w:hAnsi="仿宋_GB2312" w:eastAsia="仿宋_GB2312" w:cs="仿宋_GB2312"/>
          <w:color w:val="000000"/>
          <w:sz w:val="32"/>
          <w:szCs w:val="32"/>
        </w:rPr>
        <w:t>（二）依据市场监督管理法律、法规、规章应当给予行政处罚；</w:t>
      </w:r>
      <w:bookmarkStart w:id="2" w:name="tiao_19_kuan_1_xiang_3"/>
      <w:bookmarkEnd w:id="2"/>
      <w:r>
        <w:rPr>
          <w:rFonts w:hint="eastAsia" w:ascii="仿宋_GB2312" w:hAnsi="仿宋_GB2312" w:eastAsia="仿宋_GB2312" w:cs="仿宋_GB2312"/>
          <w:color w:val="000000"/>
          <w:sz w:val="32"/>
          <w:szCs w:val="32"/>
        </w:rPr>
        <w:t>（三）属于本部门管辖；</w:t>
      </w:r>
      <w:bookmarkStart w:id="3" w:name="tiao_19_kuan_1_xiang_4"/>
      <w:bookmarkEnd w:id="3"/>
      <w:r>
        <w:rPr>
          <w:rFonts w:hint="eastAsia" w:ascii="仿宋_GB2312" w:hAnsi="仿宋_GB2312" w:eastAsia="仿宋_GB2312" w:cs="仿宋_GB2312"/>
          <w:color w:val="000000"/>
          <w:sz w:val="32"/>
          <w:szCs w:val="32"/>
        </w:rPr>
        <w:t>（四）在给予行政处罚的法定期限内。”《市场监督管理投诉举报处理暂行办法》第三十一条第二款规定：“举报人实名举报的，有处理权限的市场监督管理部门还应当自作出是否立案决定之日起五个工作日内告知举报人。”</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案根据被申请人提交的证据可以证明，被申请人收到申请人的举报及时予以核查，在无初步证据证明被举报人有相关违法行为的情况下，决定不予立案并告知申请人。该不予立案决定符合上述规定，并无违法或不当，依法应予维持。申请人的主张无事实根据和法律依据，本机关不予支持。</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lang w:eastAsia="zh-CN"/>
        </w:rPr>
        <w:t>综上，</w:t>
      </w:r>
      <w:r>
        <w:rPr>
          <w:rFonts w:hint="eastAsia" w:ascii="仿宋_GB2312" w:hAnsi="仿宋_GB2312" w:eastAsia="仿宋_GB2312" w:cs="仿宋_GB2312"/>
          <w:sz w:val="32"/>
          <w:szCs w:val="32"/>
        </w:rPr>
        <w:t>依照《中华人民共和国行政复议法》第</w:t>
      </w:r>
      <w:r>
        <w:rPr>
          <w:rFonts w:hint="eastAsia" w:ascii="仿宋_GB2312" w:hAnsi="仿宋_GB2312" w:eastAsia="仿宋_GB2312" w:cs="仿宋_GB2312"/>
          <w:sz w:val="32"/>
          <w:szCs w:val="32"/>
          <w:lang w:eastAsia="zh-CN"/>
        </w:rPr>
        <w:t>六十八条的</w:t>
      </w:r>
      <w:r>
        <w:rPr>
          <w:rFonts w:hint="eastAsia" w:ascii="仿宋_GB2312" w:hAnsi="仿宋_GB2312" w:eastAsia="仿宋_GB2312" w:cs="仿宋_GB2312"/>
          <w:sz w:val="32"/>
          <w:szCs w:val="32"/>
        </w:rPr>
        <w:t>规定，本机关作出复议决定如下</w:t>
      </w:r>
      <w:r>
        <w:rPr>
          <w:rFonts w:hint="eastAsia" w:ascii="仿宋_GB2312" w:hAnsi="仿宋_GB2312" w:eastAsia="仿宋_GB2312" w:cs="仿宋_GB2312"/>
          <w:color w:val="000000"/>
          <w:sz w:val="32"/>
          <w:szCs w:val="32"/>
        </w:rPr>
        <w:t>：</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维持被申请人深圳市市场监督管理局宝安监管局对申请人</w:t>
      </w:r>
      <w:r>
        <w:rPr>
          <w:rFonts w:hint="eastAsia" w:ascii="仿宋_GB2312" w:hAnsi="仿宋_GB2312" w:eastAsia="仿宋_GB2312" w:cs="仿宋_GB2312"/>
          <w:color w:val="000000"/>
          <w:sz w:val="32"/>
          <w:szCs w:val="32"/>
          <w:lang w:eastAsia="zh-CN"/>
        </w:rPr>
        <w:t>李某</w:t>
      </w:r>
      <w:r>
        <w:rPr>
          <w:rFonts w:hint="eastAsia" w:ascii="仿宋_GB2312" w:hAnsi="仿宋_GB2312" w:eastAsia="仿宋_GB2312" w:cs="仿宋_GB2312"/>
          <w:color w:val="000000"/>
          <w:sz w:val="32"/>
          <w:szCs w:val="32"/>
        </w:rPr>
        <w:t>关于</w:t>
      </w:r>
      <w:r>
        <w:rPr>
          <w:rFonts w:hint="eastAsia" w:ascii="仿宋_GB2312" w:hAnsi="仿宋_GB2312" w:eastAsia="仿宋_GB2312" w:cs="仿宋_GB2312"/>
          <w:color w:val="000000"/>
          <w:sz w:val="32"/>
          <w:szCs w:val="32"/>
          <w:lang w:eastAsia="zh-CN"/>
        </w:rPr>
        <w:t>深圳市××贸易有限公司</w:t>
      </w:r>
      <w:r>
        <w:rPr>
          <w:rFonts w:hint="eastAsia" w:ascii="仿宋_GB2312" w:hAnsi="仿宋_GB2312" w:eastAsia="仿宋_GB2312" w:cs="仿宋_GB2312"/>
          <w:color w:val="000000"/>
          <w:sz w:val="32"/>
          <w:szCs w:val="32"/>
        </w:rPr>
        <w:t>的举报（编号：</w:t>
      </w:r>
      <w:r>
        <w:rPr>
          <w:rFonts w:hint="eastAsia" w:ascii="仿宋_GB2312" w:hAnsi="仿宋_GB2312" w:eastAsia="仿宋_GB2312" w:cs="仿宋_GB2312"/>
          <w:color w:val="000000"/>
          <w:sz w:val="32"/>
          <w:szCs w:val="32"/>
          <w:lang w:val="en"/>
        </w:rPr>
        <w:t>1440306002023</w:t>
      </w:r>
      <w:r>
        <w:rPr>
          <w:rFonts w:hint="eastAsia" w:ascii="仿宋_GB2312" w:hAnsi="仿宋_GB2312" w:eastAsia="仿宋_GB2312" w:cs="仿宋_GB2312"/>
          <w:sz w:val="32"/>
          <w:szCs w:val="32"/>
          <w:lang w:eastAsia="zh-CN"/>
        </w:rPr>
        <w:t>××</w:t>
      </w:r>
      <w:bookmarkStart w:id="4" w:name="_GoBack"/>
      <w:bookmarkEnd w:id="4"/>
      <w:r>
        <w:rPr>
          <w:rFonts w:hint="eastAsia" w:ascii="仿宋_GB2312" w:hAnsi="仿宋_GB2312" w:eastAsia="仿宋_GB2312" w:cs="仿宋_GB2312"/>
          <w:color w:val="000000"/>
          <w:sz w:val="32"/>
          <w:szCs w:val="32"/>
        </w:rPr>
        <w:t>）作出的不予立案决定。</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本复议决定书一经送达，即发生法律效力。申请人如对本复议决定不服，可自收到本复议决定书之日起十五日内依法向有管辖权的人民法院提起诉讼。</w:t>
      </w:r>
    </w:p>
    <w:p>
      <w:pPr>
        <w:keepNext w:val="0"/>
        <w:keepLines w:val="0"/>
        <w:pageBreakBefore w:val="0"/>
        <w:widowControl w:val="0"/>
        <w:kinsoku/>
        <w:wordWrap/>
        <w:overflowPunct/>
        <w:topLinePunct w:val="0"/>
        <w:autoSpaceDE/>
        <w:autoSpaceDN/>
        <w:bidi w:val="0"/>
        <w:adjustRightInd/>
        <w:snapToGrid/>
        <w:spacing w:line="620" w:lineRule="exact"/>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20" w:lineRule="exact"/>
        <w:ind w:firstLine="6080" w:firstLineChars="19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深圳市人民政府</w:t>
      </w:r>
    </w:p>
    <w:p>
      <w:pPr>
        <w:keepNext w:val="0"/>
        <w:keepLines w:val="0"/>
        <w:pageBreakBefore w:val="0"/>
        <w:widowControl w:val="0"/>
        <w:kinsoku/>
        <w:wordWrap/>
        <w:overflowPunct/>
        <w:topLinePunct w:val="0"/>
        <w:autoSpaceDE/>
        <w:autoSpaceDN/>
        <w:bidi w:val="0"/>
        <w:adjustRightInd/>
        <w:snapToGrid/>
        <w:spacing w:line="620" w:lineRule="exact"/>
        <w:ind w:firstLine="6080" w:firstLineChars="19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年</w:t>
      </w:r>
      <w:r>
        <w:rPr>
          <w:rFonts w:hint="default" w:ascii="仿宋_GB2312" w:hAnsi="仿宋_GB2312" w:eastAsia="仿宋_GB2312" w:cs="仿宋_GB2312"/>
          <w:color w:val="000000"/>
          <w:sz w:val="32"/>
          <w:szCs w:val="32"/>
          <w:lang w:val="en"/>
        </w:rPr>
        <w:t>5</w:t>
      </w:r>
      <w:r>
        <w:rPr>
          <w:rFonts w:hint="eastAsia" w:ascii="仿宋_GB2312" w:hAnsi="仿宋_GB2312" w:eastAsia="仿宋_GB2312" w:cs="仿宋_GB2312"/>
          <w:color w:val="000000"/>
          <w:sz w:val="32"/>
          <w:szCs w:val="32"/>
        </w:rPr>
        <w:t>月</w:t>
      </w:r>
      <w:r>
        <w:rPr>
          <w:rFonts w:hint="default" w:ascii="仿宋_GB2312" w:hAnsi="仿宋_GB2312" w:eastAsia="仿宋_GB2312" w:cs="仿宋_GB2312"/>
          <w:color w:val="000000"/>
          <w:sz w:val="32"/>
          <w:szCs w:val="32"/>
          <w:lang w:val="en"/>
        </w:rPr>
        <w:t>6</w:t>
      </w:r>
      <w:r>
        <w:rPr>
          <w:rFonts w:hint="eastAsia" w:ascii="仿宋_GB2312" w:hAnsi="仿宋_GB2312" w:eastAsia="仿宋_GB2312" w:cs="仿宋_GB2312"/>
          <w:color w:val="000000"/>
          <w:sz w:val="32"/>
          <w:szCs w:val="32"/>
        </w:rPr>
        <w:t>日</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textAlignment w:val="auto"/>
        <w:rPr>
          <w:rFonts w:hint="eastAsia" w:ascii="仿宋" w:hAnsi="仿宋" w:eastAsia="仿宋"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620" w:lineRule="exact"/>
        <w:textAlignment w:val="auto"/>
        <w:rPr>
          <w:sz w:val="32"/>
          <w:szCs w:val="32"/>
        </w:rPr>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00"/>
    <w:family w:val="modern"/>
    <w:pitch w:val="default"/>
    <w:sig w:usb0="00000000" w:usb1="00000000" w:usb2="00000016"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auto"/>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4 -</w:t>
    </w:r>
    <w:r>
      <w:rPr>
        <w:rFonts w:ascii="宋体" w:hAnsi="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Style w:val="5"/>
        <w:rFonts w:hint="eastAsia"/>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w:t>
    </w:r>
    <w:r>
      <w:rPr>
        <w:rFonts w:ascii="Times New Roman" w:hAnsi="Times New Roman"/>
        <w:sz w:val="28"/>
        <w:szCs w:val="28"/>
      </w:rPr>
      <w:t xml:space="preserve"> 2 -</w:t>
    </w:r>
    <w:r>
      <w:rPr>
        <w:rFonts w:ascii="Times New Roman" w:hAnsi="Times New Roman"/>
        <w:sz w:val="28"/>
        <w:szCs w:val="28"/>
      </w:rPr>
      <w:fldChar w:fldCharType="end"/>
    </w:r>
    <w:r>
      <w:rPr>
        <w:rStyle w:val="5"/>
        <w:rFonts w:hint="eastAsia"/>
        <w:sz w:val="28"/>
        <w:szCs w:val="28"/>
      </w:rPr>
      <w:t xml:space="preserve"> —</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true"/>
  <w:bordersDoNotSurroundFooter w:val="true"/>
  <w:trackRevisions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FFB1EC"/>
    <w:rsid w:val="159F3273"/>
    <w:rsid w:val="1B49DF36"/>
    <w:rsid w:val="1FFDFEA5"/>
    <w:rsid w:val="27F5D0C5"/>
    <w:rsid w:val="2A1F5E98"/>
    <w:rsid w:val="2E5D9204"/>
    <w:rsid w:val="2EF3C91F"/>
    <w:rsid w:val="3EBF8071"/>
    <w:rsid w:val="3F7A4374"/>
    <w:rsid w:val="3FFB1328"/>
    <w:rsid w:val="4C773059"/>
    <w:rsid w:val="4CFED6C8"/>
    <w:rsid w:val="4EFF6DA5"/>
    <w:rsid w:val="51FAB92B"/>
    <w:rsid w:val="5733AA6F"/>
    <w:rsid w:val="575D085E"/>
    <w:rsid w:val="578E7D18"/>
    <w:rsid w:val="57BF1FCC"/>
    <w:rsid w:val="5BEE6AC2"/>
    <w:rsid w:val="5FFD0ED6"/>
    <w:rsid w:val="656DF99C"/>
    <w:rsid w:val="6BE9D5AD"/>
    <w:rsid w:val="6CFFB1EC"/>
    <w:rsid w:val="6EF48072"/>
    <w:rsid w:val="6F9D8FB4"/>
    <w:rsid w:val="727F9051"/>
    <w:rsid w:val="72D7DA07"/>
    <w:rsid w:val="73E79BE7"/>
    <w:rsid w:val="75D14A81"/>
    <w:rsid w:val="75FFCC12"/>
    <w:rsid w:val="77FC80EC"/>
    <w:rsid w:val="7AFFF2F8"/>
    <w:rsid w:val="7B1BCD68"/>
    <w:rsid w:val="7BADA87D"/>
    <w:rsid w:val="7BB7C429"/>
    <w:rsid w:val="7BE7CAE3"/>
    <w:rsid w:val="7BEF2AF9"/>
    <w:rsid w:val="7C5F690E"/>
    <w:rsid w:val="7DDBFE72"/>
    <w:rsid w:val="7E584623"/>
    <w:rsid w:val="7E73C919"/>
    <w:rsid w:val="7EF62AAD"/>
    <w:rsid w:val="7EF7BE86"/>
    <w:rsid w:val="7EFFCD68"/>
    <w:rsid w:val="7F2F0846"/>
    <w:rsid w:val="7F945570"/>
    <w:rsid w:val="7FB371A5"/>
    <w:rsid w:val="7FBDB654"/>
    <w:rsid w:val="7FDCB964"/>
    <w:rsid w:val="7FE516EC"/>
    <w:rsid w:val="7FE9A8A9"/>
    <w:rsid w:val="7FFA429E"/>
    <w:rsid w:val="7FFD37DB"/>
    <w:rsid w:val="7FFD6A0E"/>
    <w:rsid w:val="7FFF3068"/>
    <w:rsid w:val="9F57BBFD"/>
    <w:rsid w:val="9FB51C36"/>
    <w:rsid w:val="A87B0E22"/>
    <w:rsid w:val="AFB23ACD"/>
    <w:rsid w:val="B1FC9912"/>
    <w:rsid w:val="BDFFB892"/>
    <w:rsid w:val="BFDBDAF9"/>
    <w:rsid w:val="BFF75167"/>
    <w:rsid w:val="C9A9E92B"/>
    <w:rsid w:val="CE772F7A"/>
    <w:rsid w:val="D5FFE0CE"/>
    <w:rsid w:val="D779780A"/>
    <w:rsid w:val="D7F3EB31"/>
    <w:rsid w:val="DBF6E3DC"/>
    <w:rsid w:val="DEFF342D"/>
    <w:rsid w:val="DEFF9C0F"/>
    <w:rsid w:val="DFB7471A"/>
    <w:rsid w:val="DFBED561"/>
    <w:rsid w:val="DFFE8184"/>
    <w:rsid w:val="E3F37E8F"/>
    <w:rsid w:val="EDFF292D"/>
    <w:rsid w:val="EFB74BFC"/>
    <w:rsid w:val="EFF66A25"/>
    <w:rsid w:val="EFFFCD3F"/>
    <w:rsid w:val="F3BE8E4B"/>
    <w:rsid w:val="F3E3806E"/>
    <w:rsid w:val="F56F2D2D"/>
    <w:rsid w:val="F7FE08C8"/>
    <w:rsid w:val="F9F685DF"/>
    <w:rsid w:val="F9F7A7F2"/>
    <w:rsid w:val="F9FF47D9"/>
    <w:rsid w:val="FAEFE822"/>
    <w:rsid w:val="FBE644D9"/>
    <w:rsid w:val="FBEE6842"/>
    <w:rsid w:val="FC3FA997"/>
    <w:rsid w:val="FD3F19E4"/>
    <w:rsid w:val="FDAF9A70"/>
    <w:rsid w:val="FE61898E"/>
    <w:rsid w:val="FE6BACF1"/>
    <w:rsid w:val="FE7A9CC0"/>
    <w:rsid w:val="FEBF702B"/>
    <w:rsid w:val="FF3EB94E"/>
    <w:rsid w:val="FFB7111F"/>
    <w:rsid w:val="FFEBAE91"/>
    <w:rsid w:val="FFFDB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2024-05-03T04:46:00Z</dcterms:created>
  <dc:creator>张文静</dc:creator>
  <cp:lastModifiedBy>kylin</cp:lastModifiedBy>
  <dcterms:modified xsi:type="dcterms:W3CDTF">2024-09-05T10:06:33Z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