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outlineLvl w:val="0"/>
        <w:rPr>
          <w:rFonts w:ascii="方正小标宋_GBK" w:eastAsia="方正小标宋_GBK"/>
          <w:sz w:val="44"/>
          <w:szCs w:val="44"/>
        </w:rPr>
      </w:pPr>
      <w:r>
        <w:rPr>
          <w:rFonts w:ascii="方正小标宋_GBK" w:eastAsia="方正小标宋_GBK"/>
          <w:sz w:val="44"/>
          <w:szCs w:val="44"/>
        </w:rPr>
        <w:t>深  圳  市  人  民  政  府</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outlineLvl w:val="0"/>
        <w:rPr>
          <w:rFonts w:ascii="宋体" w:hAnsi="宋体"/>
          <w:bCs/>
          <w:sz w:val="44"/>
        </w:rPr>
      </w:pPr>
      <w:r>
        <w:rPr>
          <w:rFonts w:hint="eastAsia" w:ascii="方正小标宋_GBK" w:hAnsi="宋体" w:eastAsia="方正小标宋_GBK"/>
          <w:bCs/>
          <w:sz w:val="44"/>
        </w:rPr>
        <w:t>行政复议决定书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pP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 w:hAnsi="仿宋" w:eastAsia="仿宋"/>
          <w:sz w:val="32"/>
        </w:rPr>
      </w:pPr>
      <w:r>
        <w:rPr>
          <w:rFonts w:hint="eastAsia" w:ascii="仿宋_GB2312" w:hAnsi="仿宋_GB2312" w:eastAsia="仿宋_GB2312" w:cs="仿宋_GB2312"/>
          <w:sz w:val="32"/>
          <w:szCs w:val="32"/>
        </w:rPr>
        <w:t>深府行复〔202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1128</w:t>
      </w:r>
      <w:r>
        <w:rPr>
          <w:rFonts w:hint="eastAsia" w:ascii="仿宋_GB2312" w:hAnsi="仿宋_GB2312" w:eastAsia="仿宋_GB2312" w:cs="仿宋_GB2312"/>
          <w:sz w:val="32"/>
          <w:szCs w:val="32"/>
        </w:rPr>
        <w:t>号</w:t>
      </w:r>
      <w:r>
        <w:rPr>
          <w:rFonts w:hint="eastAsia" w:ascii="仿宋" w:hAnsi="仿宋" w:eastAsia="仿宋" w:cs="仿宋_GB2312"/>
          <w:b/>
          <w:bCs/>
          <w:sz w:val="32"/>
          <w:szCs w:val="32"/>
        </w:rPr>
        <w:t xml:space="preserve"> </w:t>
      </w:r>
      <w:r>
        <w:rPr>
          <w:rFonts w:ascii="仿宋" w:hAnsi="仿宋" w:eastAsia="仿宋"/>
          <w:b/>
          <w:bCs/>
          <w:sz w:val="36"/>
        </w:rPr>
        <w:t xml:space="preserve">                        </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eastAsia="仿宋_GB2312"/>
          <w:sz w:val="32"/>
          <w:u w:val="single"/>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000000"/>
          <w:sz w:val="32"/>
          <w:szCs w:val="32"/>
          <w:lang w:val="en-US" w:eastAsia="zh-CN"/>
        </w:rPr>
      </w:pPr>
      <w:r>
        <w:rPr>
          <w:rFonts w:eastAsia="黑体"/>
          <w:sz w:val="32"/>
        </w:rPr>
        <w:t>申请人：</w:t>
      </w:r>
      <w:r>
        <w:rPr>
          <w:rFonts w:hint="eastAsia" w:ascii="仿宋_GB2312" w:hAnsi="仿宋_GB2312" w:eastAsia="仿宋_GB2312" w:cs="仿宋_GB2312"/>
          <w:sz w:val="32"/>
          <w:lang w:eastAsia="zh-CN"/>
        </w:rPr>
        <w:t>周某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rPr>
      </w:pPr>
      <w:r>
        <w:rPr>
          <w:rFonts w:eastAsia="黑体"/>
          <w:sz w:val="32"/>
        </w:rPr>
        <w:t>被申请人：</w:t>
      </w:r>
      <w:r>
        <w:rPr>
          <w:rFonts w:hint="eastAsia" w:ascii="仿宋_GB2312" w:hAnsi="仿宋_GB2312" w:eastAsia="仿宋_GB2312" w:cs="仿宋_GB2312"/>
          <w:sz w:val="32"/>
        </w:rPr>
        <w:t>深圳市市场监督管理局宝安监管局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地址：深圳市宝安区新安街道翻身路75号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法定代表人：周家贵，局长</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申请人</w:t>
      </w:r>
      <w:r>
        <w:rPr>
          <w:rFonts w:hint="eastAsia" w:ascii="仿宋_GB2312" w:hAnsi="仿宋_GB2312" w:eastAsia="仿宋_GB2312" w:cs="仿宋_GB2312"/>
          <w:color w:val="000000"/>
          <w:sz w:val="32"/>
          <w:szCs w:val="32"/>
          <w:lang w:eastAsia="zh-CN"/>
        </w:rPr>
        <w:t>以</w:t>
      </w:r>
      <w:r>
        <w:rPr>
          <w:rFonts w:hint="eastAsia" w:ascii="仿宋_GB2312" w:hAnsi="仿宋_GB2312" w:eastAsia="仿宋_GB2312" w:cs="仿宋_GB2312"/>
          <w:color w:val="000000"/>
          <w:sz w:val="32"/>
          <w:szCs w:val="32"/>
        </w:rPr>
        <w:t>被申请人</w:t>
      </w:r>
      <w:r>
        <w:rPr>
          <w:rFonts w:hint="eastAsia" w:ascii="仿宋_GB2312" w:hAnsi="仿宋_GB2312" w:eastAsia="仿宋_GB2312" w:cs="仿宋_GB2312"/>
          <w:b w:val="0"/>
          <w:bCs w:val="0"/>
          <w:sz w:val="32"/>
          <w:szCs w:val="32"/>
          <w:lang w:eastAsia="zh-CN"/>
        </w:rPr>
        <w:t>对其关于</w:t>
      </w:r>
      <w:r>
        <w:rPr>
          <w:rFonts w:hint="eastAsia" w:ascii="仿宋_GB2312" w:hAnsi="仿宋_GB2312" w:eastAsia="仿宋_GB2312" w:cs="仿宋_GB2312"/>
          <w:color w:val="000000"/>
          <w:sz w:val="32"/>
          <w:szCs w:val="32"/>
          <w:lang w:eastAsia="zh-CN"/>
        </w:rPr>
        <w:t>深圳市××科技有限公司</w:t>
      </w:r>
      <w:r>
        <w:rPr>
          <w:rFonts w:hint="eastAsia" w:ascii="仿宋_GB2312" w:hAnsi="仿宋_GB2312" w:eastAsia="仿宋_GB2312" w:cs="仿宋_GB2312"/>
          <w:b w:val="0"/>
          <w:bCs w:val="0"/>
          <w:sz w:val="32"/>
          <w:szCs w:val="32"/>
          <w:lang w:eastAsia="zh-CN"/>
        </w:rPr>
        <w:t>的举报（编号：</w:t>
      </w:r>
      <w:r>
        <w:rPr>
          <w:rFonts w:hint="eastAsia" w:ascii="仿宋_GB2312" w:hAnsi="仿宋_GB2312" w:eastAsia="仿宋_GB2312" w:cs="仿宋_GB2312"/>
          <w:b w:val="0"/>
          <w:bCs w:val="0"/>
          <w:sz w:val="32"/>
          <w:szCs w:val="32"/>
          <w:lang w:val="en-US" w:eastAsia="zh-CN"/>
        </w:rPr>
        <w:t>1440306002023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lang w:eastAsia="zh-CN"/>
        </w:rPr>
        <w:t>）未履行职责</w:t>
      </w:r>
      <w:r>
        <w:rPr>
          <w:rFonts w:hint="eastAsia" w:ascii="仿宋_GB2312" w:hAnsi="仿宋_GB2312" w:eastAsia="仿宋_GB2312" w:cs="仿宋_GB2312"/>
          <w:b w:val="0"/>
          <w:bCs w:val="0"/>
          <w:sz w:val="32"/>
          <w:szCs w:val="32"/>
        </w:rPr>
        <w:t>为由</w:t>
      </w:r>
      <w:r>
        <w:rPr>
          <w:rFonts w:hint="eastAsia" w:ascii="仿宋_GB2312" w:hAnsi="仿宋_GB2312" w:eastAsia="仿宋_GB2312" w:cs="仿宋_GB2312"/>
          <w:color w:val="000000"/>
          <w:sz w:val="32"/>
          <w:szCs w:val="32"/>
        </w:rPr>
        <w:t>，向本机关申请行政复议，</w:t>
      </w:r>
      <w:r>
        <w:rPr>
          <w:rFonts w:hint="eastAsia" w:ascii="仿宋_GB2312" w:hAnsi="仿宋_GB2312" w:eastAsia="仿宋_GB2312" w:cs="仿宋_GB2312"/>
          <w:sz w:val="32"/>
          <w:szCs w:val="32"/>
        </w:rPr>
        <w:t>本机关已依法受理</w:t>
      </w:r>
      <w:r>
        <w:rPr>
          <w:rFonts w:hint="eastAsia" w:ascii="仿宋_GB2312" w:hAnsi="仿宋_GB2312" w:eastAsia="仿宋_GB2312" w:cs="仿宋_GB2312"/>
          <w:sz w:val="32"/>
          <w:szCs w:val="32"/>
          <w:lang w:eastAsia="zh-CN"/>
        </w:rPr>
        <w:t>，并适用普通程序审理。</w:t>
      </w:r>
      <w:r>
        <w:rPr>
          <w:rFonts w:hint="eastAsia" w:ascii="仿宋_GB2312" w:hAnsi="仿宋_GB2312" w:eastAsia="仿宋_GB2312" w:cs="仿宋_GB2312"/>
          <w:sz w:val="32"/>
          <w:szCs w:val="32"/>
        </w:rPr>
        <w:t>被申请人向本机关提交了书面答复及有关证据和依据，本案现已审理终结。</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sz w:val="32"/>
          <w:szCs w:val="32"/>
        </w:rPr>
      </w:pPr>
      <w:r>
        <w:rPr>
          <w:rFonts w:eastAsia="黑体"/>
          <w:sz w:val="32"/>
        </w:rPr>
        <w:t>经查：</w:t>
      </w:r>
      <w:r>
        <w:rPr>
          <w:rFonts w:hint="eastAsia" w:ascii="仿宋_GB2312" w:hAnsi="仿宋_GB2312" w:eastAsia="仿宋_GB2312" w:cs="仿宋_GB2312"/>
          <w:color w:val="000000"/>
          <w:sz w:val="32"/>
          <w:szCs w:val="32"/>
        </w:rPr>
        <w:t>2023年</w:t>
      </w:r>
      <w:r>
        <w:rPr>
          <w:rFonts w:hint="eastAsia" w:ascii="仿宋_GB2312" w:hAnsi="仿宋_GB2312" w:eastAsia="仿宋_GB2312" w:cs="仿宋_GB2312"/>
          <w:color w:val="000000"/>
          <w:sz w:val="32"/>
          <w:szCs w:val="32"/>
          <w:lang w:val="en-US" w:eastAsia="zh-CN"/>
        </w:rPr>
        <w:t>11</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15</w:t>
      </w:r>
      <w:r>
        <w:rPr>
          <w:rFonts w:hint="eastAsia" w:ascii="仿宋_GB2312" w:hAnsi="仿宋_GB2312" w:eastAsia="仿宋_GB2312" w:cs="仿宋_GB2312"/>
          <w:color w:val="000000"/>
          <w:sz w:val="32"/>
          <w:szCs w:val="32"/>
        </w:rPr>
        <w:t>日，被申请人收到申请人</w:t>
      </w:r>
      <w:r>
        <w:rPr>
          <w:rFonts w:hint="eastAsia" w:ascii="仿宋_GB2312" w:hAnsi="仿宋_GB2312" w:eastAsia="仿宋_GB2312" w:cs="仿宋_GB2312"/>
          <w:color w:val="000000"/>
          <w:sz w:val="32"/>
          <w:szCs w:val="32"/>
          <w:lang w:eastAsia="zh-CN"/>
        </w:rPr>
        <w:t>通过</w:t>
      </w:r>
      <w:r>
        <w:rPr>
          <w:rFonts w:hint="eastAsia" w:ascii="仿宋_GB2312" w:hAnsi="仿宋_GB2312" w:eastAsia="仿宋_GB2312" w:cs="仿宋_GB2312"/>
          <w:color w:val="000000"/>
          <w:sz w:val="32"/>
          <w:szCs w:val="32"/>
          <w:lang w:val="en-US" w:eastAsia="zh-CN"/>
        </w:rPr>
        <w:t>12315平台</w:t>
      </w:r>
      <w:r>
        <w:rPr>
          <w:rFonts w:hint="eastAsia" w:ascii="仿宋_GB2312" w:hAnsi="仿宋_GB2312" w:eastAsia="仿宋_GB2312" w:cs="仿宋_GB2312"/>
          <w:color w:val="000000"/>
          <w:sz w:val="32"/>
          <w:szCs w:val="32"/>
        </w:rPr>
        <w:t>提起的举报（编号：</w:t>
      </w:r>
      <w:r>
        <w:rPr>
          <w:rFonts w:hint="eastAsia" w:ascii="仿宋_GB2312" w:hAnsi="仿宋_GB2312" w:eastAsia="仿宋_GB2312" w:cs="仿宋_GB2312"/>
          <w:color w:val="000000"/>
          <w:sz w:val="32"/>
          <w:szCs w:val="32"/>
          <w:lang w:val="en-US" w:eastAsia="zh-CN"/>
        </w:rPr>
        <w:t>1440306002023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sz w:val="32"/>
          <w:szCs w:val="32"/>
        </w:rPr>
        <w:t>）。申请人称其在</w:t>
      </w:r>
      <w:r>
        <w:rPr>
          <w:rFonts w:hint="eastAsia" w:ascii="仿宋_GB2312" w:hAnsi="仿宋_GB2312" w:eastAsia="仿宋_GB2312" w:cs="仿宋_GB2312"/>
          <w:color w:val="000000"/>
          <w:sz w:val="32"/>
          <w:szCs w:val="32"/>
          <w:lang w:eastAsia="zh-CN"/>
        </w:rPr>
        <w:t>深圳市××科技有限公司的天猫店铺“××旗舰店”</w:t>
      </w:r>
      <w:r>
        <w:rPr>
          <w:rFonts w:hint="eastAsia" w:ascii="仿宋_GB2312" w:hAnsi="仿宋_GB2312" w:eastAsia="仿宋_GB2312" w:cs="仿宋_GB2312"/>
          <w:color w:val="000000"/>
          <w:sz w:val="32"/>
          <w:szCs w:val="32"/>
        </w:rPr>
        <w:t>购买的“</w:t>
      </w:r>
      <w:r>
        <w:rPr>
          <w:rFonts w:hint="eastAsia" w:ascii="仿宋_GB2312" w:hAnsi="仿宋_GB2312" w:eastAsia="仿宋_GB2312" w:cs="仿宋_GB2312"/>
          <w:color w:val="000000"/>
          <w:sz w:val="32"/>
          <w:szCs w:val="32"/>
          <w:lang w:eastAsia="zh-CN"/>
        </w:rPr>
        <w:t>小夜灯</w:t>
      </w:r>
      <w:r>
        <w:rPr>
          <w:rFonts w:hint="eastAsia" w:ascii="仿宋_GB2312" w:hAnsi="仿宋_GB2312" w:eastAsia="仿宋_GB2312" w:cs="仿宋_GB2312"/>
          <w:color w:val="000000"/>
          <w:sz w:val="32"/>
          <w:szCs w:val="32"/>
        </w:rPr>
        <w:t>”存在以下问题：1.产品</w:t>
      </w:r>
      <w:r>
        <w:rPr>
          <w:rFonts w:hint="eastAsia" w:ascii="仿宋_GB2312" w:hAnsi="仿宋_GB2312" w:eastAsia="仿宋_GB2312" w:cs="仿宋_GB2312"/>
          <w:color w:val="000000"/>
          <w:sz w:val="32"/>
          <w:szCs w:val="32"/>
          <w:lang w:eastAsia="zh-CN"/>
        </w:rPr>
        <w:t>无</w:t>
      </w:r>
      <w:r>
        <w:rPr>
          <w:rFonts w:hint="eastAsia" w:ascii="仿宋_GB2312" w:hAnsi="仿宋_GB2312" w:eastAsia="仿宋_GB2312" w:cs="仿宋_GB2312"/>
          <w:color w:val="000000"/>
          <w:sz w:val="32"/>
          <w:szCs w:val="32"/>
        </w:rPr>
        <w:t>生产日期、</w:t>
      </w:r>
      <w:r>
        <w:rPr>
          <w:rFonts w:hint="eastAsia" w:ascii="仿宋_GB2312" w:hAnsi="仿宋_GB2312" w:eastAsia="仿宋_GB2312" w:cs="仿宋_GB2312"/>
          <w:color w:val="000000"/>
          <w:sz w:val="32"/>
          <w:szCs w:val="32"/>
          <w:lang w:eastAsia="zh-CN"/>
        </w:rPr>
        <w:t>无合格证、无批次等相关信息，无足够信息对产品进行溯源，在消费者使用时的健康安全存在重大隐患；</w:t>
      </w:r>
      <w:r>
        <w:rPr>
          <w:rFonts w:hint="eastAsia" w:ascii="仿宋_GB2312" w:hAnsi="仿宋_GB2312" w:eastAsia="仿宋_GB2312" w:cs="仿宋_GB2312"/>
          <w:color w:val="000000"/>
          <w:sz w:val="32"/>
          <w:szCs w:val="32"/>
          <w:lang w:val="en-US" w:eastAsia="zh-CN"/>
        </w:rPr>
        <w:t>2.产品网页宣传护眼“小夜灯”，却无法提供其色温、频闪、蓝光等相关指标，商家存在虚假宣传的违法行为；3.商家无法提供相关产品执行标准要求测试所有项目的报告和该产品的3C认证，侵害消费者知悉其购买、使用的商品或者接受的服务的真实情况的权利，存在重大安全隐患。</w:t>
      </w:r>
      <w:r>
        <w:rPr>
          <w:rFonts w:hint="eastAsia" w:ascii="仿宋_GB2312" w:hAnsi="仿宋_GB2312" w:eastAsia="仿宋_GB2312" w:cs="仿宋_GB2312"/>
          <w:color w:val="000000"/>
          <w:sz w:val="32"/>
          <w:szCs w:val="32"/>
        </w:rPr>
        <w:t>要求被申请人</w:t>
      </w:r>
      <w:r>
        <w:rPr>
          <w:rFonts w:hint="eastAsia" w:ascii="仿宋_GB2312" w:hAnsi="仿宋_GB2312" w:eastAsia="仿宋_GB2312" w:cs="仿宋_GB2312"/>
          <w:color w:val="000000"/>
          <w:sz w:val="32"/>
          <w:szCs w:val="32"/>
          <w:lang w:eastAsia="zh-CN"/>
        </w:rPr>
        <w:t>处罚、回复等</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2023年11月22日，被申请人决定对上述举报立案调查。同日，被申请人通过短信将立案情况告知申请人。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2023年11月24日，被申请人对被举报人进行现场检查，现场发现申请人举报所称的小夜灯，产品外包装标有执行标准、3C标识，产品内有合格证，产品本身标有制造商名称、地址，产品外包装未标注厂名厂址等相关信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2024年2月5日，被申请人对被举报人的委托代理人陈某进行询问调查，陈某同时向被申请人提交整改后的外包装、强制性产品认证证书、说明、电光源测试报告等材料。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2024年2月9日，被申请人决定对被举报人不予行政处罚，不予行政处罚的理由及依据为：1.被举报人销售的涉及投诉举报的小夜灯（型号GD-8606）无需标注生产日期，产品有合格证，被举报人提供了产品检验报告、强制性认证证书和关于频闪、蓝光的情况说明，被举报人违法事实不成立，根据《市场监督管理行政处罚程序规定》第六十条第一款第（三）项的规定，决定不予行政处罚；2.检查发现产品外包装未标注厂名厂址，被举报人已整改完毕，根据《市场监督管理行政处罚程序规定》第六十条第一款第（二）项的规定，决定不予行政处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2024年2月20日，被申请人通过12315平台向申请人反馈投诉举报办理情况，对于举报办理情况反馈内容为“我局依法立案调查，现已调查终结，经核查，您购买的产品链接有不同型号的产品（您购买的为：0.8瓦暖光——无感应功能），未见有虚假宣传的违法行为，被举报的产品有进行强制性认证（3C认证）；我局执法人员现场检查发现产品外包装未标厂名厂址，我局已要求被举报人整改。”申请人提交该反馈内容向本机关申请行政复议，主张被申请人未完全履行法定职责便结案，请求“撤销被申请人对申请人于全国12315举报平台举报编号：</w:t>
      </w:r>
      <w:r>
        <w:rPr>
          <w:rFonts w:hint="eastAsia" w:ascii="仿宋_GB2312" w:hAnsi="仿宋_GB2312" w:eastAsia="仿宋_GB2312" w:cs="仿宋_GB2312"/>
          <w:b w:val="0"/>
          <w:bCs w:val="0"/>
          <w:sz w:val="32"/>
          <w:szCs w:val="32"/>
          <w:lang w:val="en-US" w:eastAsia="zh-CN"/>
        </w:rPr>
        <w:t>1440306002023</w:t>
      </w:r>
      <w:r>
        <w:rPr>
          <w:rFonts w:hint="eastAsia" w:ascii="仿宋_GB2312" w:hAnsi="仿宋_GB2312" w:eastAsia="仿宋_GB2312" w:cs="仿宋_GB2312"/>
          <w:sz w:val="32"/>
          <w:szCs w:val="32"/>
          <w:lang w:eastAsia="zh-CN"/>
        </w:rPr>
        <w:t>××</w:t>
      </w:r>
      <w:bookmarkStart w:id="0" w:name="_GoBack"/>
      <w:bookmarkEnd w:id="0"/>
      <w:r>
        <w:rPr>
          <w:rFonts w:hint="eastAsia" w:ascii="仿宋_GB2312" w:hAnsi="仿宋_GB2312" w:eastAsia="仿宋_GB2312" w:cs="仿宋_GB2312"/>
          <w:b w:val="0"/>
          <w:bCs w:val="0"/>
          <w:sz w:val="32"/>
          <w:szCs w:val="32"/>
          <w:lang w:val="en-US" w:eastAsia="zh-CN"/>
        </w:rPr>
        <w:t>于2024年2月20日作出未完全履行其法定职责便结案的行政决定，责令被申请人继续履职</w:t>
      </w:r>
      <w:r>
        <w:rPr>
          <w:rFonts w:hint="eastAsia" w:ascii="仿宋_GB2312" w:hAnsi="仿宋_GB2312" w:eastAsia="仿宋_GB2312" w:cs="仿宋_GB2312"/>
          <w:color w:val="000000"/>
          <w:sz w:val="32"/>
          <w:szCs w:val="32"/>
          <w:lang w:val="en-US" w:eastAsia="zh-CN"/>
        </w:rPr>
        <w:t>”。本机关于2024年3月6日收到申请人提交的行政复议申请，并于2024年3月13日受理。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000000"/>
          <w:sz w:val="32"/>
          <w:szCs w:val="32"/>
          <w:lang w:val="en-US" w:eastAsia="zh-CN"/>
        </w:rPr>
      </w:pPr>
      <w:r>
        <w:rPr>
          <w:rFonts w:hint="eastAsia" w:ascii="黑体" w:hAnsi="黑体" w:eastAsia="黑体" w:cs="黑体"/>
          <w:color w:val="000000"/>
          <w:sz w:val="32"/>
          <w:szCs w:val="32"/>
          <w:lang w:val="en-US" w:eastAsia="zh-CN"/>
        </w:rPr>
        <w:t>另查：</w:t>
      </w:r>
      <w:r>
        <w:rPr>
          <w:rFonts w:hint="eastAsia" w:ascii="仿宋_GB2312" w:hAnsi="仿宋_GB2312" w:eastAsia="仿宋_GB2312" w:cs="仿宋_GB2312"/>
          <w:color w:val="000000"/>
          <w:sz w:val="32"/>
          <w:szCs w:val="32"/>
          <w:lang w:val="en-US" w:eastAsia="zh-CN"/>
        </w:rPr>
        <w:t>2024年3月18日，被申请人通过短信将涉案不予行政处罚决定告知申请人。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eastAsia="黑体"/>
          <w:sz w:val="32"/>
        </w:rPr>
        <w:t>本机关认为：</w:t>
      </w:r>
      <w:r>
        <w:rPr>
          <w:rFonts w:hint="eastAsia" w:ascii="仿宋_GB2312" w:hAnsi="仿宋_GB2312" w:eastAsia="仿宋_GB2312" w:cs="仿宋_GB2312"/>
          <w:color w:val="000000"/>
          <w:sz w:val="32"/>
          <w:szCs w:val="32"/>
        </w:rPr>
        <w:t>《市场监督管理行政处罚程序规定》第六十四条规定：“适用普通程序办理的案件应当自立案之日起九十日内作出处理决定。因案情复杂或者其他原因，不能在规定期限内作出处理决定的，经市场监督管理部门负责人批准，可以延长三十日。案情特别复杂或者有其他特殊情况，经延期仍不能作出处理决定的，应当由市场监督管理部门负责人集体讨论决定是否继续延期，决定继续延期的，应当同时确定延长的合理期限。”</w:t>
      </w:r>
      <w:r>
        <w:rPr>
          <w:rFonts w:hint="eastAsia" w:ascii="仿宋_GB2312" w:hAnsi="仿宋_GB2312" w:eastAsia="仿宋_GB2312" w:cs="仿宋_GB2312"/>
          <w:color w:val="000000"/>
          <w:sz w:val="32"/>
          <w:szCs w:val="32"/>
          <w:lang w:eastAsia="zh-CN"/>
        </w:rPr>
        <w:t>本案，对于申请人的举报，被申请人于2023年11月22日立案调查，并于2024年2月9日作出不予行政处罚决定，即在本机关受理涉案行政复议申请前被申请人已依法履行作出举报处理决定的职责。至于申请人主张被申请人</w:t>
      </w:r>
      <w:r>
        <w:rPr>
          <w:rFonts w:hint="eastAsia" w:ascii="仿宋_GB2312" w:hAnsi="仿宋_GB2312" w:eastAsia="仿宋_GB2312" w:cs="仿宋_GB2312"/>
          <w:color w:val="000000"/>
          <w:sz w:val="32"/>
          <w:szCs w:val="32"/>
          <w:lang w:val="en-US" w:eastAsia="zh-CN"/>
        </w:rPr>
        <w:t>2024年2月20日作出的反馈，该反馈仅是告知举报查处情况，并非告知举报处理结果，且被申请人随后亦将举报处理结果告知申请人，申请人如不服该举报处理结果，可另寻法律途径寻求救济。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综上，</w:t>
      </w:r>
      <w:r>
        <w:rPr>
          <w:rFonts w:hint="eastAsia" w:ascii="仿宋_GB2312" w:hAnsi="仿宋_GB2312" w:eastAsia="仿宋_GB2312" w:cs="仿宋_GB2312"/>
          <w:sz w:val="32"/>
          <w:szCs w:val="32"/>
        </w:rPr>
        <w:t>依照《中华人民共和国行政复议法》第</w:t>
      </w:r>
      <w:r>
        <w:rPr>
          <w:rFonts w:hint="eastAsia" w:ascii="仿宋_GB2312" w:hAnsi="仿宋_GB2312" w:eastAsia="仿宋_GB2312" w:cs="仿宋_GB2312"/>
          <w:sz w:val="32"/>
          <w:szCs w:val="32"/>
          <w:lang w:eastAsia="zh-CN"/>
        </w:rPr>
        <w:t>六十九条的</w:t>
      </w:r>
      <w:r>
        <w:rPr>
          <w:rFonts w:hint="eastAsia" w:ascii="仿宋_GB2312" w:hAnsi="仿宋_GB2312" w:eastAsia="仿宋_GB2312" w:cs="仿宋_GB2312"/>
          <w:sz w:val="32"/>
          <w:szCs w:val="32"/>
        </w:rPr>
        <w:t>规定，本机关作出复议决定如下：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lang w:eastAsia="zh-CN"/>
        </w:rPr>
        <w:t>驳回申请人周某</w:t>
      </w:r>
      <w:r>
        <w:rPr>
          <w:rFonts w:hint="eastAsia" w:ascii="仿宋_GB2312" w:hAnsi="仿宋_GB2312" w:eastAsia="仿宋_GB2312" w:cs="仿宋_GB2312"/>
          <w:sz w:val="32"/>
          <w:szCs w:val="32"/>
        </w:rPr>
        <w:t>提出的上述行政复议</w:t>
      </w:r>
      <w:r>
        <w:rPr>
          <w:rFonts w:hint="eastAsia" w:ascii="仿宋_GB2312" w:hAnsi="仿宋_GB2312" w:eastAsia="仿宋_GB2312" w:cs="仿宋_GB2312"/>
          <w:sz w:val="32"/>
          <w:szCs w:val="32"/>
          <w:lang w:eastAsia="zh-CN"/>
        </w:rPr>
        <w:t>请求</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本复议决定书一经送达，即发生法律效力。申请人如对本复议决定不服，可自收到本复议决定书之日起十五日内依法向有管辖权的人民法院提起诉讼。</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080" w:firstLineChars="19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深圳市人民政府</w:t>
      </w:r>
    </w:p>
    <w:p>
      <w:pPr>
        <w:keepNext w:val="0"/>
        <w:keepLines w:val="0"/>
        <w:pageBreakBefore w:val="0"/>
        <w:widowControl w:val="0"/>
        <w:kinsoku/>
        <w:wordWrap/>
        <w:overflowPunct/>
        <w:topLinePunct w:val="0"/>
        <w:autoSpaceDE/>
        <w:autoSpaceDN/>
        <w:bidi w:val="0"/>
        <w:adjustRightInd/>
        <w:snapToGrid/>
        <w:spacing w:line="580" w:lineRule="exact"/>
        <w:ind w:firstLine="6080" w:firstLineChars="19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7</w:t>
      </w:r>
      <w:r>
        <w:rPr>
          <w:rFonts w:hint="eastAsia" w:ascii="仿宋_GB2312" w:hAnsi="仿宋_GB2312" w:eastAsia="仿宋_GB2312" w:cs="仿宋_GB2312"/>
          <w:color w:val="000000"/>
          <w:sz w:val="32"/>
          <w:szCs w:val="32"/>
        </w:rPr>
        <w:t>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pPr>
    </w:p>
    <w:p>
      <w:pPr>
        <w:keepNext w:val="0"/>
        <w:keepLines w:val="0"/>
        <w:pageBreakBefore w:val="0"/>
        <w:widowControl w:val="0"/>
        <w:kinsoku/>
        <w:wordWrap/>
        <w:overflowPunct/>
        <w:topLinePunct w:val="0"/>
        <w:autoSpaceDE/>
        <w:autoSpaceDN/>
        <w:bidi w:val="0"/>
        <w:adjustRightInd/>
        <w:snapToGrid/>
        <w:spacing w:line="580" w:lineRule="exact"/>
        <w:textAlignment w:val="auto"/>
      </w:pPr>
    </w:p>
    <w:sectPr>
      <w:footerReference r:id="rId3" w:type="default"/>
      <w:footerReference r:id="rId4" w:type="even"/>
      <w:pgSz w:w="11906" w:h="16838"/>
      <w:pgMar w:top="1440" w:right="1587" w:bottom="1440" w:left="1587"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00"/>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auto"/>
    <w:pitch w:val="default"/>
    <w:sig w:usb0="00000000" w:usb1="00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Style w:val="5"/>
        <w:rFonts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w:t>
    </w:r>
    <w:r>
      <w:rPr>
        <w:rFonts w:ascii="Times New Roman" w:hAnsi="Times New Roman"/>
        <w:sz w:val="28"/>
        <w:szCs w:val="28"/>
      </w:rPr>
      <w:t xml:space="preserve"> 2 -</w:t>
    </w:r>
    <w:r>
      <w:rPr>
        <w:rFonts w:ascii="Times New Roman" w:hAnsi="Times New Roman"/>
        <w:sz w:val="28"/>
        <w:szCs w:val="28"/>
      </w:rPr>
      <w:fldChar w:fldCharType="end"/>
    </w:r>
    <w:r>
      <w:rPr>
        <w:rStyle w:val="5"/>
        <w:rFonts w:hint="eastAsia"/>
        <w:sz w:val="28"/>
        <w:szCs w:val="28"/>
      </w:rPr>
      <w:t xml:space="preserve"> —</w: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true"/>
  <w:bordersDoNotSurroundFooter w:val="true"/>
  <w:trackRevisions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FEE901"/>
    <w:rsid w:val="0F7FFE97"/>
    <w:rsid w:val="1BBEFB55"/>
    <w:rsid w:val="1D53D8CA"/>
    <w:rsid w:val="3A5B7398"/>
    <w:rsid w:val="3EE9D8FA"/>
    <w:rsid w:val="3FFEE901"/>
    <w:rsid w:val="5F99E750"/>
    <w:rsid w:val="66FFD30A"/>
    <w:rsid w:val="67DF437C"/>
    <w:rsid w:val="6FFFED41"/>
    <w:rsid w:val="731FE749"/>
    <w:rsid w:val="76BB16E2"/>
    <w:rsid w:val="796E9C0F"/>
    <w:rsid w:val="7EEAA164"/>
    <w:rsid w:val="7F7CB505"/>
    <w:rsid w:val="97F77557"/>
    <w:rsid w:val="B3EFE82C"/>
    <w:rsid w:val="BBEBD374"/>
    <w:rsid w:val="BBF6DD13"/>
    <w:rsid w:val="BDB9BB7F"/>
    <w:rsid w:val="BE1BC164"/>
    <w:rsid w:val="CB77069B"/>
    <w:rsid w:val="DBFF15F1"/>
    <w:rsid w:val="DF918910"/>
    <w:rsid w:val="DFABFC23"/>
    <w:rsid w:val="E1AFCAA0"/>
    <w:rsid w:val="EABB1D64"/>
    <w:rsid w:val="ED78E53A"/>
    <w:rsid w:val="ED7F4B78"/>
    <w:rsid w:val="EDF27F6C"/>
    <w:rsid w:val="EE3F4E18"/>
    <w:rsid w:val="F7C80BEB"/>
    <w:rsid w:val="FD5B1157"/>
    <w:rsid w:val="FDFFB7BD"/>
    <w:rsid w:val="FE7F76E7"/>
    <w:rsid w:val="FF17E2EE"/>
    <w:rsid w:val="FFA78F48"/>
    <w:rsid w:val="FFADF962"/>
    <w:rsid w:val="FFDDD6C0"/>
    <w:rsid w:val="FFDF7A6E"/>
    <w:rsid w:val="FFFB0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2024-05-08T14:56:00Z</dcterms:created>
  <dc:creator>张文静</dc:creator>
  <cp:lastModifiedBy>kylin</cp:lastModifiedBy>
  <dcterms:modified xsi:type="dcterms:W3CDTF">2024-09-05T10:10:46Z</dcterms:modified>
  <dc:title>深  圳  市  人  民  政  府</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