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atLeast"/>
        <w:ind w:firstLine="1760" w:firstLineChars="400"/>
        <w:rPr>
          <w:rFonts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深  圳  市  人  民  政  府</w:t>
      </w:r>
    </w:p>
    <w:p>
      <w:pPr>
        <w:spacing w:line="800" w:lineRule="atLeast"/>
        <w:ind w:firstLine="0" w:firstLineChars="0"/>
        <w:jc w:val="center"/>
        <w:rPr>
          <w:rFonts w:ascii="方正小标宋简体" w:hAnsi="方正小标宋简体" w:eastAsia="方正小标宋简体" w:cs="方正小标宋简体"/>
        </w:rPr>
      </w:pPr>
      <w:r>
        <w:rPr>
          <w:rFonts w:hint="eastAsia" w:ascii="方正小标宋简体" w:hAnsi="方正小标宋简体" w:eastAsia="方正小标宋简体" w:cs="方正小标宋简体"/>
          <w:sz w:val="44"/>
        </w:rPr>
        <w:t>行政复议决定书</w:t>
      </w:r>
    </w:p>
    <w:p>
      <w:pPr>
        <w:spacing w:line="600" w:lineRule="exact"/>
        <w:ind w:firstLine="320"/>
        <w:jc w:val="right"/>
        <w:rPr>
          <w:sz w:val="16"/>
          <w:szCs w:val="11"/>
        </w:rPr>
      </w:pPr>
      <w:r>
        <w:rPr>
          <w:rFonts w:hint="eastAsia"/>
          <w:sz w:val="16"/>
          <w:szCs w:val="11"/>
        </w:rPr>
        <w:tab/>
      </w:r>
    </w:p>
    <w:p>
      <w:pPr>
        <w:spacing w:line="600" w:lineRule="exact"/>
        <w:ind w:firstLine="640"/>
        <w:jc w:val="right"/>
      </w:pPr>
      <w:r>
        <w:rPr>
          <w:rFonts w:hint="eastAsia"/>
        </w:rPr>
        <w:t>深府行复〔202</w:t>
      </w:r>
      <w:r>
        <w:rPr>
          <w:rFonts w:hint="default"/>
        </w:rPr>
        <w:t>4</w:t>
      </w:r>
      <w:r>
        <w:rPr>
          <w:rFonts w:hint="eastAsia"/>
        </w:rPr>
        <w:t>〕</w:t>
      </w:r>
      <w:r>
        <w:rPr>
          <w:rFonts w:hint="default"/>
        </w:rPr>
        <w:t>1227</w:t>
      </w:r>
      <w:r>
        <w:rPr>
          <w:rFonts w:hint="eastAsia"/>
        </w:rPr>
        <w:t>号</w:t>
      </w:r>
      <w:r>
        <w:rPr>
          <w:rFonts w:hint="eastAsia"/>
        </w:rPr>
        <w:tab/>
      </w:r>
    </w:p>
    <w:p>
      <w:pPr>
        <w:spacing w:line="600" w:lineRule="exact"/>
        <w:ind w:firstLine="640"/>
      </w:pPr>
      <w:r>
        <w:rPr>
          <w:rFonts w:hint="eastAsia"/>
        </w:rPr>
        <w:tab/>
      </w:r>
      <w:r>
        <w:rPr>
          <w:rFonts w:hint="eastAsia"/>
        </w:rPr>
        <w:tab/>
      </w:r>
    </w:p>
    <w:p>
      <w:pPr>
        <w:spacing w:line="600" w:lineRule="exact"/>
        <w:ind w:left="640" w:leftChars="200" w:firstLine="0" w:firstLineChars="0"/>
        <w:rPr>
          <w:rFonts w:hint="eastAsia" w:eastAsia="仿宋_GB2312"/>
          <w:lang w:eastAsia="zh-CN"/>
        </w:rPr>
      </w:pPr>
      <w:r>
        <w:rPr>
          <w:rFonts w:hint="eastAsia" w:ascii="黑体" w:hAnsi="黑体" w:eastAsia="黑体" w:cs="黑体"/>
        </w:rPr>
        <w:t>申请人</w:t>
      </w:r>
      <w:r>
        <w:rPr>
          <w:rFonts w:hint="eastAsia"/>
        </w:rPr>
        <w:t>：</w:t>
      </w:r>
      <w:r>
        <w:rPr>
          <w:rFonts w:hint="default" w:hAnsi="宋体"/>
          <w:szCs w:val="32"/>
        </w:rPr>
        <w:t>敖</w:t>
      </w:r>
      <w:r>
        <w:rPr>
          <w:rFonts w:hint="eastAsia" w:hAnsi="宋体"/>
          <w:szCs w:val="32"/>
          <w:lang w:eastAsia="zh-CN"/>
        </w:rPr>
        <w:t>某</w:t>
      </w:r>
    </w:p>
    <w:p>
      <w:pPr>
        <w:spacing w:line="600" w:lineRule="exact"/>
        <w:ind w:firstLine="640"/>
      </w:pPr>
      <w:r>
        <w:rPr>
          <w:rFonts w:hint="eastAsia" w:ascii="黑体" w:hAnsi="黑体" w:eastAsia="黑体" w:cs="黑体"/>
        </w:rPr>
        <w:t>被申请人</w:t>
      </w:r>
      <w:r>
        <w:rPr>
          <w:rFonts w:hint="eastAsia"/>
        </w:rPr>
        <w:t>：</w:t>
      </w:r>
      <w:r>
        <w:rPr>
          <w:rFonts w:hint="eastAsia" w:hAnsi="宋体"/>
          <w:szCs w:val="32"/>
        </w:rPr>
        <w:t>深圳市公安局交通警察支队</w:t>
      </w:r>
      <w:r>
        <w:rPr>
          <w:rFonts w:hint="default" w:hAnsi="宋体"/>
          <w:szCs w:val="32"/>
        </w:rPr>
        <w:t>南山</w:t>
      </w:r>
      <w:r>
        <w:rPr>
          <w:rFonts w:hint="eastAsia" w:hAnsi="宋体"/>
          <w:szCs w:val="32"/>
        </w:rPr>
        <w:t>大队</w:t>
      </w:r>
    </w:p>
    <w:p>
      <w:pPr>
        <w:spacing w:line="560" w:lineRule="exact"/>
        <w:ind w:firstLine="640"/>
        <w:rPr>
          <w:rFonts w:hint="default"/>
          <w:szCs w:val="32"/>
        </w:rPr>
      </w:pPr>
      <w:r>
        <w:rPr>
          <w:rFonts w:hint="eastAsia"/>
        </w:rPr>
        <w:t>地址：</w:t>
      </w:r>
      <w:r>
        <w:rPr>
          <w:rFonts w:hint="eastAsia" w:hAnsi="宋体"/>
          <w:szCs w:val="32"/>
        </w:rPr>
        <w:t>深圳市</w:t>
      </w:r>
      <w:r>
        <w:rPr>
          <w:rFonts w:hint="default" w:hAnsi="宋体"/>
          <w:szCs w:val="32"/>
        </w:rPr>
        <w:t>南山区关口一路4号</w:t>
      </w:r>
    </w:p>
    <w:p>
      <w:pPr>
        <w:spacing w:line="560" w:lineRule="exact"/>
        <w:ind w:firstLine="640"/>
      </w:pPr>
      <w:r>
        <w:rPr>
          <w:rFonts w:hint="eastAsia"/>
        </w:rPr>
        <w:t>法定代表人：</w:t>
      </w:r>
      <w:r>
        <w:rPr>
          <w:rFonts w:hint="default" w:hAnsi="宋体"/>
          <w:szCs w:val="32"/>
        </w:rPr>
        <w:t>曾嵘</w:t>
      </w:r>
      <w:r>
        <w:rPr>
          <w:rFonts w:hint="eastAsia" w:hAnsi="宋体"/>
          <w:szCs w:val="32"/>
        </w:rPr>
        <w:t>，大队长</w:t>
      </w:r>
    </w:p>
    <w:p>
      <w:pPr>
        <w:pStyle w:val="2"/>
        <w:spacing w:before="0" w:after="0" w:line="600" w:lineRule="exact"/>
        <w:ind w:firstLine="0" w:firstLineChars="0"/>
      </w:pPr>
    </w:p>
    <w:p>
      <w:pPr>
        <w:wordWrap w:val="0"/>
        <w:spacing w:line="600" w:lineRule="exact"/>
        <w:ind w:firstLine="640"/>
      </w:pPr>
      <w:r>
        <w:rPr>
          <w:rFonts w:hint="eastAsia"/>
        </w:rPr>
        <w:t>申请人不服被申请人于202</w:t>
      </w:r>
      <w:r>
        <w:rPr>
          <w:rFonts w:hint="default"/>
        </w:rPr>
        <w:t>4</w:t>
      </w:r>
      <w:r>
        <w:rPr>
          <w:rFonts w:hint="eastAsia"/>
        </w:rPr>
        <w:t>年</w:t>
      </w:r>
      <w:r>
        <w:rPr>
          <w:rFonts w:hint="default"/>
        </w:rPr>
        <w:t>3</w:t>
      </w:r>
      <w:r>
        <w:rPr>
          <w:rFonts w:hint="eastAsia"/>
        </w:rPr>
        <w:t>月</w:t>
      </w:r>
      <w:r>
        <w:rPr>
          <w:rFonts w:hint="default"/>
        </w:rPr>
        <w:t>13</w:t>
      </w:r>
      <w:r>
        <w:rPr>
          <w:rFonts w:hint="eastAsia"/>
        </w:rPr>
        <w:t>日作出的《公安交通管理简易程序处罚决定书》</w:t>
      </w:r>
      <w:r>
        <w:rPr>
          <w:rFonts w:hint="default"/>
          <w:lang w:val="en"/>
        </w:rPr>
        <w:t>（</w:t>
      </w:r>
      <w:r>
        <w:rPr>
          <w:rFonts w:hint="eastAsia"/>
        </w:rPr>
        <w:t>编号</w:t>
      </w:r>
      <w:r>
        <w:rPr>
          <w:rFonts w:hint="eastAsia"/>
          <w:lang w:eastAsia="zh-CN"/>
        </w:rPr>
        <w:t>：</w:t>
      </w:r>
      <w:r>
        <w:rPr>
          <w:rFonts w:hint="eastAsia" w:ascii="仿宋_GB2312" w:hAnsi="Arial" w:eastAsia="仿宋_GB2312" w:cs="Arial"/>
          <w:kern w:val="0"/>
          <w:sz w:val="32"/>
          <w:szCs w:val="32"/>
        </w:rPr>
        <w:t>××</w:t>
      </w:r>
      <w:r>
        <w:rPr>
          <w:rFonts w:hint="eastAsia"/>
        </w:rPr>
        <w:t>)，向本机关申请行政复议，本机关依法受理。</w:t>
      </w:r>
      <w:r>
        <w:rPr>
          <w:rFonts w:hint="default"/>
        </w:rPr>
        <w:t>本案适用简易程序审理。</w:t>
      </w:r>
      <w:r>
        <w:rPr>
          <w:rFonts w:hint="eastAsia"/>
        </w:rPr>
        <w:t>被申请人向本机关提交了书面答复及作出该行政行为的有关证据和依据，本案现已审理终结。</w:t>
      </w:r>
    </w:p>
    <w:p>
      <w:pPr>
        <w:wordWrap w:val="0"/>
        <w:spacing w:line="600" w:lineRule="exact"/>
        <w:ind w:firstLine="640"/>
        <w:rPr>
          <w:rFonts w:hint="default"/>
        </w:rPr>
      </w:pPr>
      <w:r>
        <w:rPr>
          <w:rFonts w:hint="eastAsia" w:ascii="黑体" w:hAnsi="黑体" w:eastAsia="黑体" w:cs="黑体"/>
        </w:rPr>
        <w:t>经查</w:t>
      </w:r>
      <w:r>
        <w:rPr>
          <w:rFonts w:hint="eastAsia"/>
        </w:rPr>
        <w:t>：</w:t>
      </w:r>
      <w:r>
        <w:rPr>
          <w:rFonts w:hint="default"/>
        </w:rPr>
        <w:t>2024年3月13日，被申请人在南山区西丽湖路路段开展常态整治，发现申请人驾驶非机动车在该路段的非机动车道内逆向行驶。被申请人民警示意申请人靠边停车，并指出申请人在非机动车道内逆向行驶的违法行为。被申请人对上述违法行为进行录像取证，</w:t>
      </w:r>
      <w:r>
        <w:rPr>
          <w:rFonts w:hint="eastAsia"/>
        </w:rPr>
        <w:t>执法</w:t>
      </w:r>
      <w:r>
        <w:rPr>
          <w:rFonts w:hint="default"/>
        </w:rPr>
        <w:t>记录仪视频显示申请人驾驶电动自行车在非机动车道内逆向行驶。</w:t>
      </w:r>
    </w:p>
    <w:p>
      <w:pPr>
        <w:wordWrap w:val="0"/>
        <w:spacing w:line="600" w:lineRule="exact"/>
        <w:ind w:firstLine="640"/>
      </w:pPr>
      <w:r>
        <w:rPr>
          <w:rFonts w:hint="eastAsia"/>
        </w:rPr>
        <w:t>被申请人</w:t>
      </w:r>
      <w:r>
        <w:rPr>
          <w:rFonts w:hint="default"/>
        </w:rPr>
        <w:t>在作出行政处罚前，指出了申请人的违法行为，告知其拟作出的处罚、理由、法律依据及</w:t>
      </w:r>
      <w:r>
        <w:rPr>
          <w:rFonts w:hint="eastAsia"/>
          <w:lang w:eastAsia="zh-CN"/>
        </w:rPr>
        <w:t>其</w:t>
      </w:r>
      <w:r>
        <w:rPr>
          <w:rFonts w:hint="default"/>
        </w:rPr>
        <w:t>享有的权利义务</w:t>
      </w:r>
      <w:r>
        <w:rPr>
          <w:rFonts w:hint="eastAsia"/>
          <w:lang w:eastAsia="zh-CN"/>
        </w:rPr>
        <w:t>。</w:t>
      </w:r>
      <w:r>
        <w:rPr>
          <w:rFonts w:hint="default"/>
        </w:rPr>
        <w:t>在</w:t>
      </w:r>
      <w:r>
        <w:rPr>
          <w:rFonts w:hint="eastAsia"/>
        </w:rPr>
        <w:t>听取了申请人的陈述申辩后，</w:t>
      </w:r>
      <w:r>
        <w:rPr>
          <w:rFonts w:hint="eastAsia"/>
          <w:lang w:eastAsia="zh-CN"/>
        </w:rPr>
        <w:t>被申请人</w:t>
      </w:r>
      <w:r>
        <w:rPr>
          <w:rFonts w:hint="eastAsia"/>
        </w:rPr>
        <w:t>认为其理由不成立，</w:t>
      </w:r>
      <w:r>
        <w:rPr>
          <w:rFonts w:hint="eastAsia"/>
          <w:lang w:eastAsia="zh-CN"/>
        </w:rPr>
        <w:t>故</w:t>
      </w:r>
      <w:r>
        <w:rPr>
          <w:rFonts w:hint="eastAsia"/>
        </w:rPr>
        <w:t>依据</w:t>
      </w:r>
      <w:r>
        <w:rPr>
          <w:rFonts w:hint="default"/>
        </w:rPr>
        <w:t>《深圳经济特区道路交通安全违法行为处罚条例》第十条第一款规定，向申请人</w:t>
      </w:r>
      <w:r>
        <w:rPr>
          <w:rFonts w:hint="eastAsia"/>
          <w:lang w:eastAsia="zh-CN"/>
        </w:rPr>
        <w:t>作出</w:t>
      </w:r>
      <w:r>
        <w:rPr>
          <w:rFonts w:hint="eastAsia"/>
        </w:rPr>
        <w:t>《公安交通管理简易程序处罚决定书》</w:t>
      </w:r>
      <w:r>
        <w:rPr>
          <w:rFonts w:hint="default"/>
          <w:lang w:val="en"/>
        </w:rPr>
        <w:t>（</w:t>
      </w:r>
      <w:r>
        <w:rPr>
          <w:rFonts w:hint="eastAsia"/>
        </w:rPr>
        <w:t>编号</w:t>
      </w:r>
      <w:r>
        <w:rPr>
          <w:rFonts w:hint="eastAsia"/>
          <w:lang w:eastAsia="zh-CN"/>
        </w:rPr>
        <w:t>：</w:t>
      </w:r>
      <w:r>
        <w:rPr>
          <w:rFonts w:hint="default"/>
          <w:szCs w:val="32"/>
          <w:lang w:val="en"/>
        </w:rPr>
        <w:t>××</w:t>
      </w:r>
      <w:r>
        <w:rPr>
          <w:rFonts w:hint="eastAsia"/>
        </w:rPr>
        <w:t>)</w:t>
      </w:r>
      <w:r>
        <w:rPr>
          <w:rFonts w:hint="default"/>
        </w:rPr>
        <w:t>，决定处以300元罚款。</w:t>
      </w:r>
      <w:r>
        <w:rPr>
          <w:rFonts w:hint="eastAsia"/>
        </w:rPr>
        <w:t>申请人不服，申请行政复议。</w:t>
      </w:r>
    </w:p>
    <w:p>
      <w:pPr>
        <w:spacing w:line="560" w:lineRule="exact"/>
        <w:ind w:firstLine="640"/>
        <w:rPr>
          <w:rFonts w:hint="eastAsia"/>
        </w:rPr>
      </w:pPr>
      <w:r>
        <w:rPr>
          <w:rFonts w:hint="eastAsia" w:ascii="黑体" w:hAnsi="黑体" w:eastAsia="黑体" w:cs="黑体"/>
        </w:rPr>
        <w:t>本机关认为：</w:t>
      </w:r>
      <w:r>
        <w:rPr>
          <w:rFonts w:hint="default"/>
        </w:rPr>
        <w:t>《深圳经济特区道路交通安全违法行</w:t>
      </w:r>
      <w:bookmarkStart w:id="0" w:name="_GoBack"/>
      <w:bookmarkEnd w:id="0"/>
      <w:r>
        <w:rPr>
          <w:rFonts w:hint="default"/>
        </w:rPr>
        <w:t>为处罚条例》第十条第一款规定：“</w:t>
      </w:r>
      <w:r>
        <w:rPr>
          <w:rFonts w:hint="default"/>
          <w:lang w:val="en-US" w:eastAsia="zh-CN"/>
        </w:rPr>
        <w:t>驾驶电动自行车不按交通信号、标识规定通行或者逆行的处三百元罚款</w:t>
      </w:r>
      <w:r>
        <w:rPr>
          <w:rFonts w:hint="default"/>
          <w:lang w:eastAsia="zh-CN"/>
        </w:rPr>
        <w:t>”</w:t>
      </w:r>
      <w:r>
        <w:rPr>
          <w:rFonts w:hint="default"/>
          <w:lang w:val="en-US" w:eastAsia="zh-CN"/>
        </w:rPr>
        <w:t>。</w:t>
      </w:r>
      <w:r>
        <w:rPr>
          <w:rFonts w:hint="eastAsia"/>
        </w:rPr>
        <w:t>本案，</w:t>
      </w:r>
      <w:r>
        <w:rPr>
          <w:rFonts w:hint="default"/>
        </w:rPr>
        <w:t>执法视频清晰显示，</w:t>
      </w:r>
      <w:r>
        <w:rPr>
          <w:rFonts w:hint="eastAsia"/>
        </w:rPr>
        <w:t>申请人</w:t>
      </w:r>
      <w:r>
        <w:rPr>
          <w:rFonts w:hint="default"/>
        </w:rPr>
        <w:t>驾驶电动自行车在非机动车道内逆向行驶。另外，申请人曾于2023年1月7日和2023年4月23日因实施非机动车未在非机动车道内行驶的违法行为被处以警告处罚，因此，申请人此次违法行为不符合首违免罚，</w:t>
      </w:r>
      <w:r>
        <w:rPr>
          <w:rFonts w:hint="eastAsia"/>
        </w:rPr>
        <w:t>被申请人所作出的行政处罚决定，事实清楚，证据确凿，适用依据准确，程序合法，依法应予以维持。</w:t>
      </w:r>
    </w:p>
    <w:p>
      <w:pPr>
        <w:spacing w:line="560" w:lineRule="exact"/>
        <w:ind w:firstLine="640"/>
      </w:pPr>
      <w:r>
        <w:rPr>
          <w:rFonts w:hint="eastAsia"/>
        </w:rPr>
        <w:t>综上，根据《中华人民共和国行政复议法》第</w:t>
      </w:r>
      <w:r>
        <w:rPr>
          <w:rFonts w:hint="default"/>
        </w:rPr>
        <w:t>六十</w:t>
      </w:r>
      <w:r>
        <w:rPr>
          <w:rFonts w:hint="eastAsia"/>
        </w:rPr>
        <w:t>八条</w:t>
      </w:r>
      <w:r>
        <w:rPr>
          <w:rFonts w:hint="default"/>
        </w:rPr>
        <w:t>的规定</w:t>
      </w:r>
      <w:r>
        <w:rPr>
          <w:rFonts w:hint="eastAsia"/>
        </w:rPr>
        <w:t>，本机关作出的复议决定如下：</w:t>
      </w:r>
    </w:p>
    <w:p>
      <w:pPr>
        <w:spacing w:line="600" w:lineRule="exact"/>
        <w:ind w:firstLine="640"/>
      </w:pPr>
      <w:r>
        <w:rPr>
          <w:rFonts w:hint="eastAsia"/>
        </w:rPr>
        <w:t>维持被申请人深圳市公安局交通警察支队</w:t>
      </w:r>
      <w:r>
        <w:rPr>
          <w:rFonts w:hint="eastAsia"/>
          <w:lang w:eastAsia="zh-CN"/>
        </w:rPr>
        <w:t>南山</w:t>
      </w:r>
      <w:r>
        <w:rPr>
          <w:rFonts w:hint="default"/>
        </w:rPr>
        <w:t>大队</w:t>
      </w:r>
      <w:r>
        <w:rPr>
          <w:rFonts w:hint="eastAsia"/>
        </w:rPr>
        <w:t>作出的《公安交通管理简易程序处罚决定书》</w:t>
      </w:r>
      <w:r>
        <w:rPr>
          <w:rFonts w:hint="default"/>
          <w:lang w:val="en"/>
        </w:rPr>
        <w:t>（</w:t>
      </w:r>
      <w:r>
        <w:rPr>
          <w:rFonts w:hint="eastAsia"/>
        </w:rPr>
        <w:t>编号</w:t>
      </w:r>
      <w:r>
        <w:rPr>
          <w:rFonts w:hint="eastAsia"/>
          <w:lang w:eastAsia="zh-CN"/>
        </w:rPr>
        <w:t>：</w:t>
      </w:r>
      <w:r>
        <w:rPr>
          <w:rFonts w:hint="default"/>
          <w:szCs w:val="32"/>
          <w:lang w:val="en"/>
        </w:rPr>
        <w:t>××</w:t>
      </w:r>
      <w:r>
        <w:rPr>
          <w:rFonts w:hint="eastAsia"/>
        </w:rPr>
        <w:t>)。</w:t>
      </w:r>
    </w:p>
    <w:p>
      <w:pPr>
        <w:spacing w:line="540" w:lineRule="exact"/>
        <w:ind w:firstLine="640"/>
      </w:pPr>
      <w:r>
        <w:rPr>
          <w:rFonts w:hint="eastAsia"/>
        </w:rPr>
        <w:t>本复议决定书一经送达，即发生法律效力。申请人如对本决定不服，可自收到本复议决定</w:t>
      </w:r>
      <w:r>
        <w:rPr>
          <w:rFonts w:hint="default"/>
        </w:rPr>
        <w:t>书</w:t>
      </w:r>
      <w:r>
        <w:rPr>
          <w:rFonts w:hint="eastAsia"/>
        </w:rPr>
        <w:t>之日起十五日内</w:t>
      </w:r>
      <w:r>
        <w:rPr>
          <w:rFonts w:hint="default"/>
        </w:rPr>
        <w:t>依法</w:t>
      </w:r>
      <w:r>
        <w:rPr>
          <w:rFonts w:hint="eastAsia"/>
        </w:rPr>
        <w:t>向有管辖权人民法院提起行政诉讼。</w:t>
      </w:r>
    </w:p>
    <w:p>
      <w:pPr>
        <w:spacing w:line="600" w:lineRule="exact"/>
        <w:ind w:firstLine="640"/>
      </w:pPr>
    </w:p>
    <w:p>
      <w:pPr>
        <w:spacing w:line="600" w:lineRule="exact"/>
        <w:ind w:firstLine="640"/>
      </w:pPr>
      <w:r>
        <w:rPr>
          <w:rFonts w:hint="eastAsia"/>
        </w:rPr>
        <w:tab/>
      </w:r>
      <w:r>
        <w:rPr>
          <w:rFonts w:hint="eastAsia"/>
        </w:rPr>
        <w:tab/>
      </w:r>
      <w:r>
        <w:rPr>
          <w:rFonts w:hint="eastAsia"/>
        </w:rPr>
        <w:tab/>
      </w:r>
      <w:r>
        <w:rPr>
          <w:rFonts w:hint="eastAsia"/>
        </w:rPr>
        <w:tab/>
      </w:r>
    </w:p>
    <w:p>
      <w:pPr>
        <w:spacing w:line="600" w:lineRule="exact"/>
        <w:ind w:firstLine="640"/>
        <w:jc w:val="center"/>
      </w:pPr>
      <w:r>
        <w:rPr>
          <w:rFonts w:hint="eastAsia"/>
        </w:rPr>
        <w:t xml:space="preserve">                                深圳市人民政府</w:t>
      </w:r>
    </w:p>
    <w:p>
      <w:pPr>
        <w:spacing w:line="600" w:lineRule="exact"/>
        <w:ind w:firstLine="640"/>
        <w:jc w:val="center"/>
      </w:pPr>
      <w:r>
        <w:rPr>
          <w:rFonts w:hint="eastAsia"/>
        </w:rPr>
        <w:t xml:space="preserve">                        </w:t>
      </w:r>
      <w:r>
        <w:rPr>
          <w:rFonts w:hint="default"/>
        </w:rPr>
        <w:t xml:space="preserve">      </w:t>
      </w:r>
      <w:r>
        <w:rPr>
          <w:rFonts w:hint="eastAsia"/>
        </w:rPr>
        <w:t xml:space="preserve">  202</w:t>
      </w:r>
      <w:r>
        <w:rPr>
          <w:rFonts w:hint="default"/>
        </w:rPr>
        <w:t>4</w:t>
      </w:r>
      <w:r>
        <w:rPr>
          <w:rFonts w:hint="eastAsia"/>
        </w:rPr>
        <w:t>年</w:t>
      </w:r>
      <w:r>
        <w:rPr>
          <w:rFonts w:hint="default"/>
        </w:rPr>
        <w:t>4</w:t>
      </w:r>
      <w:r>
        <w:rPr>
          <w:rFonts w:hint="eastAsia"/>
        </w:rPr>
        <w:t>月</w:t>
      </w:r>
      <w:r>
        <w:rPr>
          <w:rFonts w:hint="default"/>
        </w:rPr>
        <w:t>19</w:t>
      </w:r>
      <w:r>
        <w:rPr>
          <w:rFonts w:hint="eastAsia"/>
        </w:rPr>
        <w:t>日</w:t>
      </w:r>
      <w:r>
        <w:rPr>
          <w:rFonts w:hint="eastAsia"/>
        </w:rPr>
        <w:tab/>
      </w:r>
    </w:p>
    <w:p>
      <w:pPr>
        <w:ind w:firstLine="640"/>
      </w:pPr>
    </w:p>
    <w:sectPr>
      <w:headerReference r:id="rId7" w:type="first"/>
      <w:footerReference r:id="rId10" w:type="first"/>
      <w:headerReference r:id="rId5" w:type="default"/>
      <w:footerReference r:id="rId8" w:type="default"/>
      <w:headerReference r:id="rId6" w:type="even"/>
      <w:footerReference r:id="rId9" w:type="even"/>
      <w:pgSz w:w="11906" w:h="16838"/>
      <w:pgMar w:top="1962" w:right="1474" w:bottom="1848"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trackRevisions w:val="tru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25C"/>
    <w:rsid w:val="00181E5A"/>
    <w:rsid w:val="001E107E"/>
    <w:rsid w:val="001F016F"/>
    <w:rsid w:val="003672C3"/>
    <w:rsid w:val="00494AB1"/>
    <w:rsid w:val="00515C85"/>
    <w:rsid w:val="00517161"/>
    <w:rsid w:val="00545BED"/>
    <w:rsid w:val="006D3F1C"/>
    <w:rsid w:val="00751CF3"/>
    <w:rsid w:val="007C152B"/>
    <w:rsid w:val="009711A6"/>
    <w:rsid w:val="00982302"/>
    <w:rsid w:val="00BA425C"/>
    <w:rsid w:val="00CA4058"/>
    <w:rsid w:val="00D01F03"/>
    <w:rsid w:val="00D108E1"/>
    <w:rsid w:val="00D220B0"/>
    <w:rsid w:val="00D40DAD"/>
    <w:rsid w:val="00D643A2"/>
    <w:rsid w:val="00D91AB0"/>
    <w:rsid w:val="00DB74AA"/>
    <w:rsid w:val="00F44DD2"/>
    <w:rsid w:val="0FFD7DC7"/>
    <w:rsid w:val="2FBC8DF0"/>
    <w:rsid w:val="2FFF4939"/>
    <w:rsid w:val="37FFF433"/>
    <w:rsid w:val="4FBA93BC"/>
    <w:rsid w:val="53BC3507"/>
    <w:rsid w:val="5DAD053C"/>
    <w:rsid w:val="5EFE3403"/>
    <w:rsid w:val="5FCF0A90"/>
    <w:rsid w:val="5FF6D3FA"/>
    <w:rsid w:val="66963F17"/>
    <w:rsid w:val="6EEA9F4C"/>
    <w:rsid w:val="70F5FC03"/>
    <w:rsid w:val="78EF18A7"/>
    <w:rsid w:val="7DE7B83A"/>
    <w:rsid w:val="7DFD7B8B"/>
    <w:rsid w:val="7EF910CA"/>
    <w:rsid w:val="7F791838"/>
    <w:rsid w:val="7FFF5B25"/>
    <w:rsid w:val="9DFE8BA6"/>
    <w:rsid w:val="9F7CA937"/>
    <w:rsid w:val="A6ED94D0"/>
    <w:rsid w:val="AFFE0594"/>
    <w:rsid w:val="BFEE2A15"/>
    <w:rsid w:val="BFEF4F44"/>
    <w:rsid w:val="D1CFE4DC"/>
    <w:rsid w:val="D5EE1B2C"/>
    <w:rsid w:val="D7FEAB11"/>
    <w:rsid w:val="E5D733C4"/>
    <w:rsid w:val="E5FD5929"/>
    <w:rsid w:val="E75FEE7D"/>
    <w:rsid w:val="EB7F56E7"/>
    <w:rsid w:val="EBDDA011"/>
    <w:rsid w:val="EBF5B844"/>
    <w:rsid w:val="F7FBE3BE"/>
    <w:rsid w:val="F8FE6FD5"/>
    <w:rsid w:val="F95B8284"/>
    <w:rsid w:val="FBFFBF2F"/>
    <w:rsid w:val="FCCF9386"/>
    <w:rsid w:val="FCFE180E"/>
    <w:rsid w:val="FE7C416A"/>
    <w:rsid w:val="FEF7DEF4"/>
    <w:rsid w:val="FFBE93D3"/>
    <w:rsid w:val="FFBF6AE1"/>
    <w:rsid w:val="FFFD0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880" w:firstLineChars="200"/>
      <w:jc w:val="both"/>
    </w:pPr>
    <w:rPr>
      <w:rFonts w:ascii="仿宋_GB2312" w:hAnsi="仿宋_GB2312" w:eastAsia="仿宋_GB2312" w:cs="仿宋_GB2312"/>
      <w:kern w:val="2"/>
      <w:sz w:val="32"/>
      <w:szCs w:val="22"/>
      <w:lang w:val="en-US" w:eastAsia="zh-CN" w:bidi="ar-SA"/>
    </w:rPr>
  </w:style>
  <w:style w:type="paragraph" w:styleId="2">
    <w:name w:val="heading 1"/>
    <w:basedOn w:val="1"/>
    <w:next w:val="1"/>
    <w:link w:val="9"/>
    <w:qFormat/>
    <w:uiPriority w:val="0"/>
    <w:pPr>
      <w:keepNext/>
      <w:keepLines/>
      <w:spacing w:before="340" w:after="330" w:line="578" w:lineRule="atLeast"/>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0"/>
    <w:pPr>
      <w:tabs>
        <w:tab w:val="center" w:pos="4153"/>
        <w:tab w:val="right" w:pos="8306"/>
      </w:tabs>
      <w:snapToGrid w:val="0"/>
      <w:spacing w:line="240" w:lineRule="auto"/>
      <w:ind w:firstLine="0" w:firstLineChars="0"/>
      <w:jc w:val="left"/>
    </w:pPr>
    <w:rPr>
      <w:rFonts w:asciiTheme="minorHAnsi" w:hAnsiTheme="minorHAnsi" w:eastAsiaTheme="minorEastAsia" w:cstheme="minorBidi"/>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qFormat/>
    <w:uiPriority w:val="0"/>
    <w:rPr>
      <w:sz w:val="18"/>
      <w:szCs w:val="18"/>
    </w:rPr>
  </w:style>
  <w:style w:type="character" w:customStyle="1" w:styleId="9">
    <w:name w:val="标题 1 Char"/>
    <w:basedOn w:val="6"/>
    <w:link w:val="2"/>
    <w:qFormat/>
    <w:uiPriority w:val="0"/>
    <w:rPr>
      <w:rFonts w:ascii="仿宋_GB2312" w:hAnsi="仿宋_GB2312" w:eastAsia="仿宋_GB2312" w:cs="仿宋_GB2312"/>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201</Words>
  <Characters>1146</Characters>
  <Lines>9</Lines>
  <Paragraphs>2</Paragraphs>
  <TotalTime>0</TotalTime>
  <ScaleCrop>false</ScaleCrop>
  <LinksUpToDate>false</LinksUpToDate>
  <CharactersWithSpaces>1345</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2022-06-04T08:29:00Z</dcterms:created>
  <dc:creator>张伟东</dc:creator>
  <cp:lastModifiedBy>yangpp</cp:lastModifiedBy>
  <dcterms:modified xsi:type="dcterms:W3CDTF">2024-08-17T12:29:14Z</dcterms:modified>
  <dc:title>深  圳  市  人  民  政  府</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