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0" w:firstLineChars="0"/>
        <w:jc w:val="center"/>
        <w:rPr>
          <w:rFonts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深  圳  市  人  民  政  府</w:t>
      </w:r>
    </w:p>
    <w:p>
      <w:pPr>
        <w:spacing w:line="560" w:lineRule="exact"/>
        <w:ind w:firstLine="0" w:firstLineChars="0"/>
        <w:jc w:val="center"/>
        <w:rPr>
          <w:rFonts w:ascii="方正小标宋_GBK" w:hAnsi="方正小标宋_GBK" w:eastAsia="方正小标宋_GBK" w:cs="方正小标宋_GBK"/>
          <w:sz w:val="44"/>
        </w:rPr>
      </w:pPr>
      <w:r>
        <w:rPr>
          <w:rFonts w:hint="eastAsia" w:ascii="方正小标宋_GBK" w:hAnsi="方正小标宋_GBK" w:eastAsia="方正小标宋_GBK" w:cs="方正小标宋_GBK"/>
          <w:sz w:val="44"/>
        </w:rPr>
        <w:t>行政复议决定书</w:t>
      </w:r>
    </w:p>
    <w:p>
      <w:pPr>
        <w:wordWrap w:val="0"/>
        <w:spacing w:line="560" w:lineRule="exact"/>
        <w:ind w:firstLine="640"/>
        <w:jc w:val="right"/>
      </w:pPr>
    </w:p>
    <w:p>
      <w:pPr>
        <w:wordWrap w:val="0"/>
        <w:spacing w:line="560" w:lineRule="exact"/>
        <w:ind w:firstLine="640"/>
        <w:jc w:val="right"/>
      </w:pPr>
      <w:r>
        <w:rPr>
          <w:rFonts w:hint="eastAsia"/>
        </w:rPr>
        <w:t>深府行复〔202</w:t>
      </w:r>
      <w:r>
        <w:t>4</w:t>
      </w:r>
      <w:r>
        <w:rPr>
          <w:rFonts w:hint="eastAsia"/>
        </w:rPr>
        <w:t>〕</w:t>
      </w:r>
      <w:r>
        <w:t>1305</w:t>
      </w:r>
      <w:r>
        <w:rPr>
          <w:rFonts w:hint="eastAsia"/>
        </w:rPr>
        <w:t>号</w:t>
      </w:r>
    </w:p>
    <w:p>
      <w:pPr>
        <w:spacing w:line="560" w:lineRule="exact"/>
        <w:ind w:firstLine="640"/>
      </w:pPr>
      <w:r>
        <w:rPr>
          <w:rFonts w:hint="eastAsia"/>
        </w:rPr>
        <w:tab/>
      </w:r>
      <w:r>
        <w:rPr>
          <w:rFonts w:hint="eastAsia"/>
        </w:rPr>
        <w:tab/>
      </w:r>
    </w:p>
    <w:p>
      <w:pPr>
        <w:spacing w:line="560" w:lineRule="exact"/>
        <w:ind w:firstLine="640"/>
        <w:rPr>
          <w:rFonts w:hint="default"/>
        </w:rPr>
      </w:pPr>
      <w:r>
        <w:rPr>
          <w:rFonts w:hint="eastAsia" w:ascii="黑体" w:hAnsi="黑体" w:eastAsia="黑体" w:cs="黑体"/>
        </w:rPr>
        <w:t>申请人</w:t>
      </w:r>
      <w:r>
        <w:rPr>
          <w:rFonts w:hint="eastAsia" w:hAnsi="黑体" w:cs="黑体"/>
        </w:rPr>
        <w:t>：</w:t>
      </w:r>
      <w:r>
        <w:rPr>
          <w:rFonts w:hAnsi="黑体" w:cs="黑体"/>
        </w:rPr>
        <w:t>吴</w:t>
      </w:r>
      <w:r>
        <w:rPr>
          <w:rFonts w:hAnsi="黑体" w:cs="黑体"/>
        </w:rPr>
        <w:t>某</w:t>
      </w:r>
    </w:p>
    <w:p>
      <w:pPr>
        <w:spacing w:line="560" w:lineRule="exact"/>
        <w:ind w:firstLine="640"/>
      </w:pPr>
      <w:r>
        <w:rPr>
          <w:rFonts w:hint="eastAsia" w:ascii="黑体" w:hAnsi="黑体" w:eastAsia="黑体" w:cs="黑体"/>
        </w:rPr>
        <w:t>被申请人</w:t>
      </w:r>
      <w:r>
        <w:rPr>
          <w:rFonts w:hint="eastAsia"/>
        </w:rPr>
        <w:t>：深圳市公安局交通警察支队</w:t>
      </w:r>
      <w:r>
        <w:t>罗湖</w:t>
      </w:r>
      <w:r>
        <w:rPr>
          <w:rFonts w:hint="eastAsia"/>
        </w:rPr>
        <w:t>大队</w:t>
      </w:r>
    </w:p>
    <w:p>
      <w:pPr>
        <w:spacing w:line="560" w:lineRule="exact"/>
        <w:ind w:firstLine="640"/>
      </w:pPr>
      <w:r>
        <w:rPr>
          <w:rFonts w:hint="eastAsia"/>
        </w:rPr>
        <w:t>地址：深圳市</w:t>
      </w:r>
      <w:r>
        <w:t>罗湖区深南东路2012号</w:t>
      </w:r>
    </w:p>
    <w:p>
      <w:pPr>
        <w:spacing w:line="560" w:lineRule="exact"/>
        <w:ind w:firstLine="640"/>
      </w:pPr>
      <w:r>
        <w:rPr>
          <w:rFonts w:hint="eastAsia"/>
        </w:rPr>
        <w:t>法定代表人：</w:t>
      </w:r>
      <w:r>
        <w:t>罗云</w:t>
      </w:r>
      <w:r>
        <w:rPr>
          <w:rFonts w:hint="eastAsia"/>
        </w:rPr>
        <w:t>，大队长</w:t>
      </w:r>
    </w:p>
    <w:p>
      <w:pPr>
        <w:wordWrap w:val="0"/>
        <w:spacing w:line="560" w:lineRule="exact"/>
        <w:ind w:firstLine="640"/>
      </w:pPr>
    </w:p>
    <w:p>
      <w:pPr>
        <w:wordWrap w:val="0"/>
        <w:spacing w:line="560" w:lineRule="exact"/>
        <w:ind w:firstLine="640"/>
        <w:rPr>
          <w:rFonts w:ascii="黑体" w:hAnsi="黑体" w:eastAsia="黑体" w:cs="黑体"/>
        </w:rPr>
      </w:pPr>
      <w:r>
        <w:rPr>
          <w:rFonts w:hint="eastAsia"/>
        </w:rPr>
        <w:t>申请人</w:t>
      </w:r>
      <w:r>
        <w:t>因</w:t>
      </w:r>
      <w:r>
        <w:rPr>
          <w:rFonts w:hint="eastAsia"/>
        </w:rPr>
        <w:t>不服被申请人</w:t>
      </w:r>
      <w:r>
        <w:t>于</w:t>
      </w:r>
      <w:r>
        <w:rPr>
          <w:rFonts w:hint="eastAsia"/>
        </w:rPr>
        <w:t>2024年3月12日</w:t>
      </w:r>
      <w:r>
        <w:t>对其</w:t>
      </w:r>
      <w:r>
        <w:rPr>
          <w:rFonts w:hint="eastAsia"/>
        </w:rPr>
        <w:t>作出的《公安交通管理</w:t>
      </w:r>
      <w:r>
        <w:t>简易程序</w:t>
      </w:r>
      <w:r>
        <w:rPr>
          <w:rFonts w:hint="eastAsia"/>
        </w:rPr>
        <w:t>处罚决定书》</w:t>
      </w:r>
      <w:r>
        <w:t>（</w:t>
      </w:r>
      <w:r>
        <w:rPr>
          <w:rFonts w:hint="eastAsia"/>
        </w:rPr>
        <w:t>编号</w:t>
      </w:r>
      <w:r>
        <w:t>：</w:t>
      </w:r>
      <w:r>
        <w:rPr>
          <w:rFonts w:hint="eastAsia" w:ascii="仿宋_GB2312" w:hAnsi="仿宋_GB2312" w:eastAsia="仿宋_GB2312" w:cs="仿宋_GB2312"/>
        </w:rPr>
        <w:t>××</w:t>
      </w:r>
      <w:r>
        <w:t>）</w:t>
      </w:r>
      <w:r>
        <w:rPr>
          <w:rFonts w:hint="eastAsia"/>
        </w:rPr>
        <w:t>，向本机关申请行政复议，本机关依法受理</w:t>
      </w:r>
      <w:r>
        <w:t>，适用简易程序审理</w:t>
      </w:r>
      <w:r>
        <w:rPr>
          <w:rFonts w:hint="eastAsia"/>
        </w:rPr>
        <w:t>。被申请人向本机关提交了书面答复及作出该具体行政行为的有关证据和依据，本案现已审理终结。</w:t>
      </w:r>
    </w:p>
    <w:p>
      <w:pPr>
        <w:wordWrap w:val="0"/>
        <w:spacing w:line="560" w:lineRule="exact"/>
        <w:ind w:firstLine="640"/>
      </w:pPr>
      <w:r>
        <w:rPr>
          <w:rFonts w:ascii="黑体" w:hAnsi="黑体" w:eastAsia="黑体" w:cs="黑体"/>
        </w:rPr>
        <w:t>申请人称：</w:t>
      </w:r>
      <w:r>
        <w:rPr>
          <w:rFonts w:hint="eastAsia" w:hAnsi="黑体" w:cs="黑体"/>
        </w:rPr>
        <w:t>申请人于2024年3月9日购买二手电动车，于3月12日出行在广清路路口被警告未安装牌照。电动车刚买几天，前车主还未去注销牌照，申请人暂时不能上牌，购买时已催促车主去注销，但注销需要时间，注销后需要系统更新才能上牌，处罚当日已跟交警解释，但被申请人仍对申请人作出警告处罚。新车上牌尚有宽限期限，二手车为何没有宽限期？申请人已提供二手车购买记录，请求撤销对申请人首次警告处罚。</w:t>
      </w:r>
    </w:p>
    <w:p>
      <w:pPr>
        <w:wordWrap w:val="0"/>
        <w:spacing w:line="560" w:lineRule="exact"/>
        <w:ind w:firstLine="640"/>
        <w:rPr>
          <w:szCs w:val="32"/>
        </w:rPr>
      </w:pPr>
      <w:r>
        <w:rPr>
          <w:rFonts w:hint="eastAsia" w:ascii="黑体" w:hAnsi="黑体" w:eastAsia="黑体" w:cs="黑体"/>
        </w:rPr>
        <w:t>被申请人答复称：</w:t>
      </w:r>
      <w:r>
        <w:rPr>
          <w:rFonts w:hint="eastAsia"/>
        </w:rPr>
        <w:t>一、</w:t>
      </w:r>
      <w:r>
        <w:rPr>
          <w:rFonts w:hint="eastAsia"/>
          <w:szCs w:val="32"/>
        </w:rPr>
        <w:t>被申请人对申请人作出的行政处罚事实清楚，证据确凿。2024年3月12日15时48分许，现场警力在红岗路-红岗路开展整治行动时，发现一辆无号牌电动自行车有驾驶未登记的电动自行车上路行驶或者不按照规定安装号牌、过渡期标示的违法行为，将该电动自行车拦截检查。经核查，该电动自行车驾驶人为申请人，遂当场指出其违法事实，听取其陈述、申辩意见后，告知其拟对其作出的处罚，向其开具并送达了</w:t>
      </w:r>
      <w:r>
        <w:rPr>
          <w:rFonts w:hint="default"/>
          <w:szCs w:val="32"/>
        </w:rPr>
        <w:t>××</w:t>
      </w:r>
      <w:r>
        <w:rPr>
          <w:rFonts w:hint="eastAsia"/>
          <w:szCs w:val="32"/>
        </w:rPr>
        <w:t>号《公安交通管理简易程序处罚决定书》，申请人签名予以确认。</w:t>
      </w:r>
    </w:p>
    <w:p>
      <w:pPr>
        <w:spacing w:line="560" w:lineRule="exact"/>
        <w:ind w:firstLine="640"/>
        <w:rPr>
          <w:szCs w:val="32"/>
        </w:rPr>
      </w:pPr>
      <w:r>
        <w:rPr>
          <w:rFonts w:hint="eastAsia"/>
          <w:szCs w:val="32"/>
        </w:rPr>
        <w:t>二、被申请人对申请人作出的行政处罚适用法律依据准确。1.《深圳市公安局交通警察局关于对电动自行车等非机动车实施限制通行管理措施的通告》第三条</w:t>
      </w:r>
      <w:r>
        <w:rPr>
          <w:rFonts w:hint="eastAsia"/>
          <w:szCs w:val="32"/>
          <w:lang w:eastAsia="zh-CN"/>
        </w:rPr>
        <w:t>规定</w:t>
      </w:r>
      <w:r>
        <w:rPr>
          <w:rFonts w:hint="eastAsia"/>
          <w:szCs w:val="32"/>
        </w:rPr>
        <w:t>“电动自行车实行登记制度，经市公安局交通警察局登记后，方可上道路行驶”。2.《深圳市电动自行车管理规定（试行）》第十一条规定：“电动自行车实行登记制度，经市公安交管部门登记后，方可上道路行驶。具体登记办法由市公安交管部门另行制定，并向社会公布</w:t>
      </w:r>
      <w:r>
        <w:rPr>
          <w:rFonts w:hint="eastAsia"/>
          <w:szCs w:val="32"/>
          <w:lang w:eastAsia="zh-CN"/>
        </w:rPr>
        <w:t>。</w:t>
      </w:r>
      <w:r>
        <w:rPr>
          <w:rFonts w:hint="eastAsia"/>
          <w:szCs w:val="32"/>
        </w:rPr>
        <w:t>”第二十七条规定：“驾驶电动自行车上道路行驶，应当按要求安装号牌或者过渡期标识，不得故意污损、遮挡</w:t>
      </w:r>
      <w:r>
        <w:rPr>
          <w:rFonts w:hint="eastAsia"/>
          <w:szCs w:val="32"/>
          <w:lang w:eastAsia="zh-CN"/>
        </w:rPr>
        <w:t>。</w:t>
      </w:r>
      <w:r>
        <w:rPr>
          <w:rFonts w:hint="eastAsia"/>
          <w:szCs w:val="32"/>
        </w:rPr>
        <w:t>”第三十四条规定：“驾驶未登记的电动自行车上路行驶或者不按照规定安装号牌、过渡期标识的，由市公安交管部门责令其改正，处警告或者五十元罚款</w:t>
      </w:r>
      <w:r>
        <w:rPr>
          <w:rFonts w:hint="eastAsia"/>
          <w:szCs w:val="32"/>
          <w:lang w:eastAsia="zh-CN"/>
        </w:rPr>
        <w:t>。</w:t>
      </w:r>
      <w:r>
        <w:rPr>
          <w:rFonts w:hint="eastAsia"/>
          <w:szCs w:val="32"/>
        </w:rPr>
        <w:t>”</w:t>
      </w:r>
    </w:p>
    <w:p>
      <w:pPr>
        <w:spacing w:line="560" w:lineRule="exact"/>
        <w:ind w:firstLine="640"/>
        <w:rPr>
          <w:szCs w:val="32"/>
        </w:rPr>
      </w:pPr>
      <w:r>
        <w:rPr>
          <w:rFonts w:hint="eastAsia"/>
          <w:szCs w:val="32"/>
        </w:rPr>
        <w:t>三、被申请人作出的处罚程序合法。被申请人在对申请人作出行政处罚前，已履行相关法律规定程序，如听取其陈述申辩、在处罚前告知其违法行为以及享有的权利义务等。</w:t>
      </w:r>
    </w:p>
    <w:p>
      <w:pPr>
        <w:spacing w:line="560" w:lineRule="exact"/>
        <w:ind w:firstLine="640"/>
      </w:pPr>
      <w:r>
        <w:rPr>
          <w:rFonts w:hint="eastAsia"/>
          <w:szCs w:val="32"/>
        </w:rPr>
        <w:t>四、针对申请人提出的理由。申请人已知晓深圳市电动自行车管理规定。根据《深圳市电动自行车管理规定（试行）》第三十四条“驾驶未登记的电动自行车上路行驶或者不按照规定安装号牌、过渡期标识的，由市公安交管部门责令其改正，处警告或者五十元罚款”。申请人当日驾驶未登记的电动自行车上路行驶或者不按照规定安装号牌、过渡期标识的车辆。现场警力查处时，已履行相关法律规定程序，如听取其陈述申辩、在处罚前告知其违法行为以及享有的权利义务等。</w:t>
      </w:r>
    </w:p>
    <w:p>
      <w:pPr>
        <w:wordWrap w:val="0"/>
        <w:spacing w:line="560" w:lineRule="exact"/>
        <w:ind w:firstLine="640"/>
      </w:pPr>
      <w:r>
        <w:rPr>
          <w:rFonts w:hint="eastAsia" w:ascii="黑体" w:hAnsi="黑体" w:eastAsia="黑体" w:cs="黑体"/>
        </w:rPr>
        <w:t>经查</w:t>
      </w:r>
      <w:r>
        <w:rPr>
          <w:rFonts w:ascii="黑体" w:hAnsi="黑体" w:eastAsia="黑体" w:cs="黑体"/>
        </w:rPr>
        <w:t>：</w:t>
      </w:r>
      <w:r>
        <w:rPr>
          <w:rFonts w:hint="eastAsia"/>
        </w:rPr>
        <w:t>2024年3月12日15</w:t>
      </w:r>
      <w:r>
        <w:t>时</w:t>
      </w:r>
      <w:r>
        <w:rPr>
          <w:rFonts w:hint="eastAsia"/>
        </w:rPr>
        <w:t>48</w:t>
      </w:r>
      <w:r>
        <w:t>分许，</w:t>
      </w:r>
      <w:r>
        <w:rPr>
          <w:kern w:val="0"/>
          <w:szCs w:val="32"/>
          <w:shd w:val="clear" w:color="auto" w:fill="FFFFFF"/>
        </w:rPr>
        <w:t>申请人在红岗路</w:t>
      </w:r>
      <w:r>
        <w:rPr>
          <w:rFonts w:hint="eastAsia"/>
          <w:kern w:val="0"/>
          <w:szCs w:val="32"/>
          <w:shd w:val="clear" w:color="auto" w:fill="FFFFFF"/>
        </w:rPr>
        <w:t>-</w:t>
      </w:r>
      <w:r>
        <w:rPr>
          <w:kern w:val="0"/>
          <w:szCs w:val="32"/>
          <w:shd w:val="clear" w:color="auto" w:fill="FFFFFF"/>
        </w:rPr>
        <w:t>红岗路广清路路口实施驾驶未登记的电动自行车上路行驶、未按规定安装号牌的违法行为，执勤民警现场指出申请人的违法行为，告知行政处罚的内容及依据等。申请人以“电动车刚买”为由对行政处罚现场提出异议。被申请人执勤民警听取申请人上述陈述和申辩后，认为其提出的理由不成立，遂当场向申请人出具</w:t>
      </w:r>
      <w:r>
        <w:rPr>
          <w:rFonts w:hint="default"/>
          <w:szCs w:val="32"/>
        </w:rPr>
        <w:t>××</w:t>
      </w:r>
      <w:r>
        <w:t>号</w:t>
      </w:r>
      <w:r>
        <w:rPr>
          <w:rFonts w:hint="eastAsia"/>
        </w:rPr>
        <w:t>《公安交通管理</w:t>
      </w:r>
      <w:r>
        <w:t>简易程序</w:t>
      </w:r>
      <w:r>
        <w:rPr>
          <w:rFonts w:hint="eastAsia"/>
        </w:rPr>
        <w:t>处罚决定书》</w:t>
      </w:r>
      <w:r>
        <w:t>，依据</w:t>
      </w:r>
      <w:r>
        <w:rPr>
          <w:rFonts w:hint="eastAsia"/>
          <w:szCs w:val="32"/>
        </w:rPr>
        <w:t>《深圳市电动自行车管理规定（试行）》</w:t>
      </w:r>
      <w:r>
        <w:rPr>
          <w:szCs w:val="32"/>
        </w:rPr>
        <w:t>第三十四条，对申请人处以</w:t>
      </w:r>
      <w:r>
        <w:rPr>
          <w:rFonts w:hint="eastAsia"/>
          <w:szCs w:val="32"/>
        </w:rPr>
        <w:t>警告</w:t>
      </w:r>
      <w:r>
        <w:rPr>
          <w:szCs w:val="32"/>
        </w:rPr>
        <w:t>处罚，</w:t>
      </w:r>
      <w:r>
        <w:rPr>
          <w:kern w:val="0"/>
          <w:szCs w:val="32"/>
          <w:shd w:val="clear" w:color="auto" w:fill="FFFFFF"/>
        </w:rPr>
        <w:t>申请人在处罚决定书上签字</w:t>
      </w:r>
      <w:r>
        <w:rPr>
          <w:rFonts w:hint="eastAsia"/>
          <w:kern w:val="0"/>
          <w:szCs w:val="32"/>
          <w:shd w:val="clear" w:color="auto" w:fill="FFFFFF"/>
        </w:rPr>
        <w:t>。</w:t>
      </w:r>
      <w:r>
        <w:rPr>
          <w:kern w:val="0"/>
          <w:szCs w:val="32"/>
          <w:shd w:val="clear" w:color="auto" w:fill="FFFFFF"/>
        </w:rPr>
        <w:t>以上事实有被申请人提交的执法记录仪视频等相关证据证明。</w:t>
      </w:r>
      <w:r>
        <w:rPr>
          <w:rFonts w:hint="eastAsia"/>
        </w:rPr>
        <w:t>申请人不服</w:t>
      </w:r>
      <w:r>
        <w:t>上述</w:t>
      </w:r>
      <w:r>
        <w:rPr>
          <w:rFonts w:hint="eastAsia"/>
        </w:rPr>
        <w:t>行政处罚决定，</w:t>
      </w:r>
      <w:r>
        <w:t>向本机关</w:t>
      </w:r>
      <w:r>
        <w:rPr>
          <w:rFonts w:hint="eastAsia"/>
        </w:rPr>
        <w:t>申请行政复议。</w:t>
      </w:r>
    </w:p>
    <w:p>
      <w:pPr>
        <w:wordWrap w:val="0"/>
        <w:spacing w:line="560" w:lineRule="exact"/>
        <w:ind w:firstLine="640"/>
      </w:pPr>
      <w:r>
        <w:rPr>
          <w:rFonts w:hint="eastAsia" w:ascii="黑体" w:hAnsi="黑体" w:eastAsia="黑体" w:cs="黑体"/>
        </w:rPr>
        <w:t>另查：</w:t>
      </w:r>
      <w:r>
        <w:rPr>
          <w:rFonts w:hint="eastAsia"/>
        </w:rPr>
        <w:t>广东省电动自行车登记系统查询结果</w:t>
      </w:r>
      <w:r>
        <w:t>显示</w:t>
      </w:r>
      <w:r>
        <w:rPr>
          <w:rFonts w:hint="eastAsia"/>
        </w:rPr>
        <w:t>，截至2024年4月11日，申请人（公民身份号码</w:t>
      </w:r>
      <w:r>
        <w:rPr>
          <w:rFonts w:hint="default" w:hAnsi="宋体"/>
          <w:szCs w:val="32"/>
        </w:rPr>
        <w:t>××</w:t>
      </w:r>
      <w:r>
        <w:rPr>
          <w:rFonts w:hint="eastAsia" w:hAnsi="宋体"/>
          <w:szCs w:val="32"/>
        </w:rPr>
        <w:t>）名下未登记任何电动自行车信息</w:t>
      </w:r>
      <w:r>
        <w:t>。</w:t>
      </w:r>
    </w:p>
    <w:p>
      <w:pPr>
        <w:pStyle w:val="11"/>
        <w:spacing w:line="560" w:lineRule="exact"/>
        <w:ind w:firstLine="640"/>
        <w:rPr>
          <w:sz w:val="32"/>
          <w:szCs w:val="32"/>
        </w:rPr>
      </w:pPr>
      <w:r>
        <w:rPr>
          <w:rFonts w:hint="eastAsia" w:ascii="黑体" w:hAnsi="黑体" w:eastAsia="黑体" w:cs="黑体"/>
          <w:sz w:val="32"/>
          <w:szCs w:val="32"/>
        </w:rPr>
        <w:t>本机关认为：</w:t>
      </w:r>
      <w:r>
        <w:rPr>
          <w:rFonts w:hint="eastAsia"/>
          <w:sz w:val="32"/>
          <w:szCs w:val="32"/>
        </w:rPr>
        <w:t>《深圳市电动自行车管理规定（试行）》</w:t>
      </w:r>
      <w:r>
        <w:rPr>
          <w:sz w:val="32"/>
          <w:szCs w:val="32"/>
        </w:rPr>
        <w:t>第十一条规定：“</w:t>
      </w:r>
      <w:r>
        <w:rPr>
          <w:rFonts w:hint="eastAsia"/>
          <w:sz w:val="32"/>
          <w:szCs w:val="32"/>
        </w:rPr>
        <w:t>电动自行车实行登记制度，经市公安交管部门登记后，方可上道路行驶。具体登记办法由市公安交管部门另行制定，并向社会公布。</w:t>
      </w:r>
      <w:r>
        <w:rPr>
          <w:sz w:val="32"/>
          <w:szCs w:val="32"/>
        </w:rPr>
        <w:t>”</w:t>
      </w:r>
      <w:r>
        <w:rPr>
          <w:rStyle w:val="12"/>
          <w:rFonts w:hint="eastAsia"/>
          <w:b w:val="0"/>
          <w:bCs w:val="0"/>
          <w:sz w:val="32"/>
          <w:szCs w:val="32"/>
        </w:rPr>
        <w:t>第二十七条</w:t>
      </w:r>
      <w:bookmarkStart w:id="0" w:name="tiao_27_kuan_1"/>
      <w:bookmarkEnd w:id="0"/>
      <w:r>
        <w:rPr>
          <w:sz w:val="32"/>
          <w:szCs w:val="32"/>
        </w:rPr>
        <w:t>规定：“</w:t>
      </w:r>
      <w:r>
        <w:rPr>
          <w:rFonts w:hint="eastAsia"/>
          <w:sz w:val="32"/>
          <w:szCs w:val="32"/>
        </w:rPr>
        <w:t>驾驶电动自行车上道路行驶，应当按要求安装号牌或者过渡期标识，不得故意污损、遮挡。</w:t>
      </w:r>
      <w:r>
        <w:rPr>
          <w:sz w:val="32"/>
          <w:szCs w:val="32"/>
        </w:rPr>
        <w:t>”</w:t>
      </w:r>
      <w:r>
        <w:rPr>
          <w:rStyle w:val="12"/>
          <w:rFonts w:hint="eastAsia"/>
          <w:b w:val="0"/>
          <w:bCs w:val="0"/>
          <w:sz w:val="32"/>
          <w:szCs w:val="32"/>
        </w:rPr>
        <w:t>第三十四条</w:t>
      </w:r>
      <w:bookmarkStart w:id="1" w:name="tiao_34_kuan_1"/>
      <w:bookmarkEnd w:id="1"/>
      <w:r>
        <w:rPr>
          <w:sz w:val="32"/>
          <w:szCs w:val="32"/>
        </w:rPr>
        <w:t>规定：“</w:t>
      </w:r>
      <w:r>
        <w:rPr>
          <w:rFonts w:hint="eastAsia"/>
          <w:sz w:val="32"/>
          <w:szCs w:val="32"/>
        </w:rPr>
        <w:t>驾驶未登记的电动自行车上路行驶或者不按照规定安装号牌、过渡期标识的，由市公安交管部门责令其改正，处警告或者五十元罚款。</w:t>
      </w:r>
      <w:r>
        <w:rPr>
          <w:sz w:val="32"/>
          <w:szCs w:val="32"/>
        </w:rPr>
        <w:t>”本案，根据在案证据材料，可以认定申请人实施了</w:t>
      </w:r>
      <w:r>
        <w:rPr>
          <w:kern w:val="0"/>
          <w:sz w:val="32"/>
          <w:szCs w:val="32"/>
          <w:shd w:val="clear" w:color="auto" w:fill="FFFFFF"/>
        </w:rPr>
        <w:t>未登记电动自行车上路行驶、未按规定安装号牌</w:t>
      </w:r>
      <w:r>
        <w:rPr>
          <w:sz w:val="32"/>
          <w:szCs w:val="32"/>
        </w:rPr>
        <w:t>的违法行为，被申请人作出的涉案行政处罚决定符合上述规定</w:t>
      </w:r>
      <w:r>
        <w:rPr>
          <w:rFonts w:hint="eastAsia"/>
          <w:sz w:val="32"/>
          <w:szCs w:val="32"/>
        </w:rPr>
        <w:t>，</w:t>
      </w:r>
      <w:r>
        <w:rPr>
          <w:sz w:val="32"/>
          <w:szCs w:val="32"/>
        </w:rPr>
        <w:t>并无违法或不当。</w:t>
      </w:r>
    </w:p>
    <w:p>
      <w:pPr>
        <w:pStyle w:val="11"/>
        <w:spacing w:line="560" w:lineRule="exact"/>
        <w:ind w:firstLine="640"/>
        <w:rPr>
          <w:sz w:val="32"/>
          <w:szCs w:val="32"/>
        </w:rPr>
      </w:pPr>
      <w:r>
        <w:rPr>
          <w:rFonts w:hint="eastAsia"/>
          <w:sz w:val="32"/>
          <w:szCs w:val="32"/>
        </w:rPr>
        <w:t>申请人以“刚购买二手电动车应给予宽限期”为由要求撤销涉案行政处罚的</w:t>
      </w:r>
      <w:r>
        <w:rPr>
          <w:sz w:val="32"/>
          <w:szCs w:val="32"/>
        </w:rPr>
        <w:t>主张</w:t>
      </w:r>
      <w:r>
        <w:rPr>
          <w:rFonts w:hint="eastAsia"/>
          <w:sz w:val="32"/>
          <w:szCs w:val="32"/>
        </w:rPr>
        <w:t>。</w:t>
      </w:r>
      <w:r>
        <w:rPr>
          <w:sz w:val="32"/>
          <w:szCs w:val="32"/>
        </w:rPr>
        <w:t>本机关认为</w:t>
      </w:r>
      <w:r>
        <w:rPr>
          <w:rFonts w:hint="eastAsia"/>
          <w:sz w:val="32"/>
          <w:szCs w:val="32"/>
        </w:rPr>
        <w:t>，电动自行车须经市公安交管部门登记后方可上道路行驶，</w:t>
      </w:r>
      <w:r>
        <w:rPr>
          <w:sz w:val="32"/>
          <w:szCs w:val="32"/>
        </w:rPr>
        <w:t>申请人作为电动自行车驾驶人，应当遵守交通安全管理规定，</w:t>
      </w:r>
      <w:r>
        <w:rPr>
          <w:rFonts w:hint="eastAsia"/>
          <w:sz w:val="32"/>
          <w:szCs w:val="32"/>
        </w:rPr>
        <w:t>“</w:t>
      </w:r>
      <w:r>
        <w:rPr>
          <w:sz w:val="32"/>
          <w:szCs w:val="32"/>
        </w:rPr>
        <w:t>电动车刚购买</w:t>
      </w:r>
      <w:r>
        <w:rPr>
          <w:rFonts w:hint="eastAsia"/>
          <w:sz w:val="32"/>
          <w:szCs w:val="32"/>
        </w:rPr>
        <w:t>”</w:t>
      </w:r>
      <w:r>
        <w:rPr>
          <w:sz w:val="32"/>
          <w:szCs w:val="32"/>
        </w:rPr>
        <w:t>并非免除行政处罚的法定事由</w:t>
      </w:r>
      <w:r>
        <w:rPr>
          <w:rFonts w:hint="eastAsia"/>
          <w:sz w:val="32"/>
          <w:szCs w:val="32"/>
        </w:rPr>
        <w:t>，申请人</w:t>
      </w:r>
      <w:r>
        <w:rPr>
          <w:rFonts w:hint="eastAsia"/>
          <w:sz w:val="32"/>
          <w:szCs w:val="32"/>
          <w:lang w:val="en-US" w:eastAsia="zh-CN"/>
        </w:rPr>
        <w:t>应</w:t>
      </w:r>
      <w:r>
        <w:rPr>
          <w:rFonts w:hint="eastAsia"/>
          <w:sz w:val="32"/>
          <w:szCs w:val="32"/>
        </w:rPr>
        <w:t>在</w:t>
      </w:r>
      <w:r>
        <w:rPr>
          <w:sz w:val="32"/>
          <w:szCs w:val="32"/>
        </w:rPr>
        <w:t>电动自行车登记到其名下并安装号牌</w:t>
      </w:r>
      <w:r>
        <w:rPr>
          <w:rFonts w:hint="eastAsia"/>
          <w:sz w:val="32"/>
          <w:szCs w:val="32"/>
        </w:rPr>
        <w:t>、</w:t>
      </w:r>
      <w:r>
        <w:rPr>
          <w:sz w:val="32"/>
          <w:szCs w:val="32"/>
        </w:rPr>
        <w:t>过渡期标识后再上路行驶</w:t>
      </w:r>
      <w:r>
        <w:rPr>
          <w:rFonts w:hint="eastAsia"/>
          <w:sz w:val="32"/>
          <w:szCs w:val="32"/>
        </w:rPr>
        <w:t>，故</w:t>
      </w:r>
      <w:r>
        <w:rPr>
          <w:sz w:val="32"/>
          <w:szCs w:val="32"/>
        </w:rPr>
        <w:t>申请人的上述主张没有事实与法律依据，本机关</w:t>
      </w:r>
      <w:r>
        <w:rPr>
          <w:rFonts w:hint="eastAsia"/>
          <w:sz w:val="32"/>
          <w:szCs w:val="32"/>
        </w:rPr>
        <w:t>依法不予支持。</w:t>
      </w:r>
    </w:p>
    <w:p>
      <w:pPr>
        <w:spacing w:line="560" w:lineRule="exact"/>
        <w:ind w:firstLine="640"/>
      </w:pPr>
      <w:r>
        <w:rPr>
          <w:rFonts w:hint="eastAsia"/>
        </w:rPr>
        <w:t>综上，根据《中华人民共和国行政复议法》第六十八条</w:t>
      </w:r>
      <w:r>
        <w:t>的规定</w:t>
      </w:r>
      <w:r>
        <w:rPr>
          <w:rFonts w:hint="eastAsia"/>
        </w:rPr>
        <w:t>，本机关作出复议决定如下：</w:t>
      </w:r>
    </w:p>
    <w:p>
      <w:pPr>
        <w:wordWrap w:val="0"/>
        <w:spacing w:line="560" w:lineRule="exact"/>
        <w:ind w:firstLine="640"/>
      </w:pPr>
      <w:r>
        <w:rPr>
          <w:rFonts w:hint="eastAsia"/>
        </w:rPr>
        <w:t>维持被申请人深圳市公安局交通警察支队罗湖大队</w:t>
      </w:r>
      <w:r>
        <w:t>于</w:t>
      </w:r>
      <w:r>
        <w:rPr>
          <w:rFonts w:hint="eastAsia"/>
        </w:rPr>
        <w:t>2024年3月12日</w:t>
      </w:r>
      <w:r>
        <w:t>对申请人</w:t>
      </w:r>
      <w:r>
        <w:rPr>
          <w:rFonts w:hint="eastAsia"/>
        </w:rPr>
        <w:t>吴</w:t>
      </w:r>
      <w:r>
        <w:rPr>
          <w:rFonts w:hint="default"/>
        </w:rPr>
        <w:t>某</w:t>
      </w:r>
      <w:r>
        <w:rPr>
          <w:rFonts w:hint="eastAsia"/>
        </w:rPr>
        <w:t>作出的《公安交通管理</w:t>
      </w:r>
      <w:r>
        <w:t>简易程序</w:t>
      </w:r>
      <w:r>
        <w:rPr>
          <w:rFonts w:hint="eastAsia"/>
        </w:rPr>
        <w:t>处罚决定书》</w:t>
      </w:r>
      <w:r>
        <w:t>（</w:t>
      </w:r>
      <w:r>
        <w:rPr>
          <w:rFonts w:hint="eastAsia"/>
        </w:rPr>
        <w:t>编号</w:t>
      </w:r>
      <w:r>
        <w:t>：</w:t>
      </w:r>
      <w:r>
        <w:rPr>
          <w:rFonts w:hint="default"/>
          <w:szCs w:val="32"/>
        </w:rPr>
        <w:t>××</w:t>
      </w:r>
      <w:r>
        <w:t>）</w:t>
      </w:r>
      <w:r>
        <w:rPr>
          <w:rFonts w:hint="eastAsia"/>
        </w:rPr>
        <w:t>。</w:t>
      </w:r>
    </w:p>
    <w:p>
      <w:pPr>
        <w:spacing w:line="560" w:lineRule="exact"/>
        <w:ind w:firstLine="640"/>
      </w:pPr>
      <w:r>
        <w:rPr>
          <w:rFonts w:hint="eastAsia"/>
        </w:rPr>
        <w:t>本复议决定书一经送</w:t>
      </w:r>
      <w:bookmarkStart w:id="2" w:name="_GoBack"/>
      <w:bookmarkEnd w:id="2"/>
      <w:r>
        <w:rPr>
          <w:rFonts w:hint="eastAsia"/>
        </w:rPr>
        <w:t>达，即发生法律效力。申请人如对本复议决定不服，可自收到复议决定</w:t>
      </w:r>
      <w:r>
        <w:t>书</w:t>
      </w:r>
      <w:r>
        <w:rPr>
          <w:rFonts w:hint="eastAsia"/>
        </w:rPr>
        <w:t>之日起十五日内向有管辖权的人民法院提起诉讼</w:t>
      </w:r>
      <w:r>
        <w:t>。</w:t>
      </w:r>
    </w:p>
    <w:p>
      <w:pPr>
        <w:spacing w:line="560" w:lineRule="exact"/>
        <w:ind w:firstLine="640"/>
      </w:pPr>
    </w:p>
    <w:p>
      <w:pPr>
        <w:spacing w:line="560" w:lineRule="exact"/>
        <w:ind w:firstLine="640"/>
      </w:pPr>
      <w:r>
        <w:rPr>
          <w:rFonts w:hint="eastAsia"/>
        </w:rPr>
        <w:tab/>
      </w:r>
    </w:p>
    <w:p>
      <w:pPr>
        <w:spacing w:line="560" w:lineRule="exact"/>
        <w:ind w:firstLine="640"/>
        <w:jc w:val="center"/>
      </w:pPr>
      <w:r>
        <w:rPr>
          <w:rFonts w:hint="eastAsia"/>
        </w:rPr>
        <w:t xml:space="preserve">                   深圳市人民政府</w:t>
      </w:r>
    </w:p>
    <w:p>
      <w:pPr>
        <w:spacing w:line="560" w:lineRule="exact"/>
        <w:ind w:firstLine="640"/>
        <w:jc w:val="center"/>
      </w:pPr>
      <w:r>
        <w:rPr>
          <w:rFonts w:hint="eastAsia"/>
        </w:rPr>
        <w:t xml:space="preserve">                   2024年4月1</w:t>
      </w:r>
      <w:r>
        <w:rPr>
          <w:rFonts w:hint="default"/>
          <w:lang w:val="en"/>
        </w:rPr>
        <w:t>8</w:t>
      </w:r>
      <w:r>
        <w:rPr>
          <w:rFonts w:hint="eastAsia"/>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0" w:footer="0" w:gutter="0"/>
      <w:cols w:space="0"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文鼎粗钢笔行楷"/>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文鼎粗钢笔行楷"/>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鼎粗钢笔行楷">
    <w:panose1 w:val="020B060201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0" w:firstLineChars="0"/>
    </w:pPr>
    <w:r>
      <w:pict>
        <v:shape id="_x0000_s4097" o:spid="_x0000_s4097" o:spt="202" type="#_x0000_t202" style="position:absolute;left:0pt;margin-top:-61.5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ind w:firstLine="560"/>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RkMTM1NDUzM2Q1YWVhYTFhNWMzYWY3YjVlYTBjOGIifQ=="/>
  </w:docVars>
  <w:rsids>
    <w:rsidRoot w:val="00182C07"/>
    <w:rsid w:val="00065143"/>
    <w:rsid w:val="00076BCE"/>
    <w:rsid w:val="00110F5D"/>
    <w:rsid w:val="00112F34"/>
    <w:rsid w:val="00115383"/>
    <w:rsid w:val="00182C07"/>
    <w:rsid w:val="002D5C04"/>
    <w:rsid w:val="0033365B"/>
    <w:rsid w:val="00363863"/>
    <w:rsid w:val="0039723A"/>
    <w:rsid w:val="003B2ADD"/>
    <w:rsid w:val="003E066B"/>
    <w:rsid w:val="00410FB6"/>
    <w:rsid w:val="00465F75"/>
    <w:rsid w:val="00555130"/>
    <w:rsid w:val="005A77BB"/>
    <w:rsid w:val="005D76FC"/>
    <w:rsid w:val="006000C8"/>
    <w:rsid w:val="00634823"/>
    <w:rsid w:val="00670848"/>
    <w:rsid w:val="006773B4"/>
    <w:rsid w:val="006B0491"/>
    <w:rsid w:val="00714068"/>
    <w:rsid w:val="007C329E"/>
    <w:rsid w:val="007D0DE5"/>
    <w:rsid w:val="007F5313"/>
    <w:rsid w:val="007F6275"/>
    <w:rsid w:val="00824069"/>
    <w:rsid w:val="008C73E7"/>
    <w:rsid w:val="00A53E16"/>
    <w:rsid w:val="00AE6D67"/>
    <w:rsid w:val="00B131C7"/>
    <w:rsid w:val="00B147B7"/>
    <w:rsid w:val="00BC207E"/>
    <w:rsid w:val="00BD4766"/>
    <w:rsid w:val="00C01C82"/>
    <w:rsid w:val="00C178DE"/>
    <w:rsid w:val="00C26752"/>
    <w:rsid w:val="00C6561D"/>
    <w:rsid w:val="00C945C9"/>
    <w:rsid w:val="00CC7EF7"/>
    <w:rsid w:val="00D03FA4"/>
    <w:rsid w:val="00D43902"/>
    <w:rsid w:val="00D96E73"/>
    <w:rsid w:val="00DD0CAA"/>
    <w:rsid w:val="00DD3D80"/>
    <w:rsid w:val="00DE1C00"/>
    <w:rsid w:val="00E458FE"/>
    <w:rsid w:val="00E52BD7"/>
    <w:rsid w:val="00EB6E9C"/>
    <w:rsid w:val="00ED6EE8"/>
    <w:rsid w:val="00F90466"/>
    <w:rsid w:val="00FD3D04"/>
    <w:rsid w:val="00FE7502"/>
    <w:rsid w:val="02860F92"/>
    <w:rsid w:val="032831D6"/>
    <w:rsid w:val="038D288D"/>
    <w:rsid w:val="05BF577D"/>
    <w:rsid w:val="064410D3"/>
    <w:rsid w:val="07602E48"/>
    <w:rsid w:val="0A2A7C4B"/>
    <w:rsid w:val="0BB67F04"/>
    <w:rsid w:val="0D04706F"/>
    <w:rsid w:val="0D974726"/>
    <w:rsid w:val="0FDE46F0"/>
    <w:rsid w:val="0FF0D483"/>
    <w:rsid w:val="0FFDECBA"/>
    <w:rsid w:val="135F11C5"/>
    <w:rsid w:val="13D75DDF"/>
    <w:rsid w:val="14EF780E"/>
    <w:rsid w:val="18C8788D"/>
    <w:rsid w:val="1993F18E"/>
    <w:rsid w:val="1DFDB5B1"/>
    <w:rsid w:val="1EF78E3D"/>
    <w:rsid w:val="1EFEB4B4"/>
    <w:rsid w:val="1F3D7A2A"/>
    <w:rsid w:val="1F673AB3"/>
    <w:rsid w:val="1F7ED09C"/>
    <w:rsid w:val="1FCF2FF3"/>
    <w:rsid w:val="212A087F"/>
    <w:rsid w:val="21975313"/>
    <w:rsid w:val="231D1CA3"/>
    <w:rsid w:val="24BDB57F"/>
    <w:rsid w:val="24F74EED"/>
    <w:rsid w:val="26A050C5"/>
    <w:rsid w:val="275E295F"/>
    <w:rsid w:val="27DE6253"/>
    <w:rsid w:val="2A7C2BFC"/>
    <w:rsid w:val="2BDC978B"/>
    <w:rsid w:val="2BE07D12"/>
    <w:rsid w:val="2E554CE2"/>
    <w:rsid w:val="2EEE3D18"/>
    <w:rsid w:val="2F087CAC"/>
    <w:rsid w:val="2FBA6E13"/>
    <w:rsid w:val="32BFAD12"/>
    <w:rsid w:val="34A00986"/>
    <w:rsid w:val="34AD40D4"/>
    <w:rsid w:val="34E354FC"/>
    <w:rsid w:val="351A3C1A"/>
    <w:rsid w:val="3583FE16"/>
    <w:rsid w:val="36554C82"/>
    <w:rsid w:val="36F5493A"/>
    <w:rsid w:val="36F90900"/>
    <w:rsid w:val="37A8A148"/>
    <w:rsid w:val="37AF2562"/>
    <w:rsid w:val="37BD2C2D"/>
    <w:rsid w:val="37FD476F"/>
    <w:rsid w:val="37FE44EB"/>
    <w:rsid w:val="37FE8342"/>
    <w:rsid w:val="3A7D613A"/>
    <w:rsid w:val="3A992F67"/>
    <w:rsid w:val="3B1583C6"/>
    <w:rsid w:val="3BD50A24"/>
    <w:rsid w:val="3BEF8DDF"/>
    <w:rsid w:val="3D5FF231"/>
    <w:rsid w:val="3D7D0BDF"/>
    <w:rsid w:val="3D7D7626"/>
    <w:rsid w:val="3DFA0EB6"/>
    <w:rsid w:val="3EDCFCA7"/>
    <w:rsid w:val="3F2F9E71"/>
    <w:rsid w:val="3F6A63B4"/>
    <w:rsid w:val="3F7D0B64"/>
    <w:rsid w:val="3F9758EF"/>
    <w:rsid w:val="3FA23F3A"/>
    <w:rsid w:val="3FBB74B6"/>
    <w:rsid w:val="3FF774D0"/>
    <w:rsid w:val="3FFB6EB4"/>
    <w:rsid w:val="3FFFA616"/>
    <w:rsid w:val="46D43A07"/>
    <w:rsid w:val="48780B7A"/>
    <w:rsid w:val="48E6BC6D"/>
    <w:rsid w:val="495A4DB5"/>
    <w:rsid w:val="49FFBF02"/>
    <w:rsid w:val="4B7D908F"/>
    <w:rsid w:val="4DDCCA68"/>
    <w:rsid w:val="4EC67F9F"/>
    <w:rsid w:val="4EFF3D2A"/>
    <w:rsid w:val="4F673AC5"/>
    <w:rsid w:val="4F7F67FD"/>
    <w:rsid w:val="4FB7EA08"/>
    <w:rsid w:val="4FFFCE13"/>
    <w:rsid w:val="507F3181"/>
    <w:rsid w:val="5175697F"/>
    <w:rsid w:val="517FCF76"/>
    <w:rsid w:val="51872223"/>
    <w:rsid w:val="538F5949"/>
    <w:rsid w:val="5491747D"/>
    <w:rsid w:val="555F27F2"/>
    <w:rsid w:val="56602EF6"/>
    <w:rsid w:val="567B7B46"/>
    <w:rsid w:val="57EAE8B5"/>
    <w:rsid w:val="5BE7FA73"/>
    <w:rsid w:val="5CFD7246"/>
    <w:rsid w:val="5CFF2392"/>
    <w:rsid w:val="5D36AC96"/>
    <w:rsid w:val="5DEA2D46"/>
    <w:rsid w:val="5E164A9C"/>
    <w:rsid w:val="5E1C1E82"/>
    <w:rsid w:val="5E57E702"/>
    <w:rsid w:val="5ECF765F"/>
    <w:rsid w:val="5F0801AC"/>
    <w:rsid w:val="5F4F6C65"/>
    <w:rsid w:val="5F7C6C01"/>
    <w:rsid w:val="5FB7B29E"/>
    <w:rsid w:val="5FD623F7"/>
    <w:rsid w:val="5FDF7B68"/>
    <w:rsid w:val="5FEF6474"/>
    <w:rsid w:val="5FFB757A"/>
    <w:rsid w:val="5FFDB13D"/>
    <w:rsid w:val="5FFFC27D"/>
    <w:rsid w:val="61481791"/>
    <w:rsid w:val="62ED9B8E"/>
    <w:rsid w:val="6376731D"/>
    <w:rsid w:val="63AF248A"/>
    <w:rsid w:val="63FF9395"/>
    <w:rsid w:val="65BB3B92"/>
    <w:rsid w:val="66A0652B"/>
    <w:rsid w:val="697F90C5"/>
    <w:rsid w:val="699FB4D5"/>
    <w:rsid w:val="6A6B80A9"/>
    <w:rsid w:val="6B4B624F"/>
    <w:rsid w:val="6C1420B3"/>
    <w:rsid w:val="6C5381BF"/>
    <w:rsid w:val="6C6B680B"/>
    <w:rsid w:val="6C7BAE4A"/>
    <w:rsid w:val="6CBA5193"/>
    <w:rsid w:val="6DBFBF2A"/>
    <w:rsid w:val="6DDB25EF"/>
    <w:rsid w:val="6E7F8033"/>
    <w:rsid w:val="6EFCFDFA"/>
    <w:rsid w:val="6EFD95F5"/>
    <w:rsid w:val="6F1EDC1D"/>
    <w:rsid w:val="6F3F4E84"/>
    <w:rsid w:val="6F5FBA77"/>
    <w:rsid w:val="6F6FBCF5"/>
    <w:rsid w:val="6F7FD6E4"/>
    <w:rsid w:val="6F87E8D7"/>
    <w:rsid w:val="6FA7B06C"/>
    <w:rsid w:val="6FE3E21B"/>
    <w:rsid w:val="6FF9AA2B"/>
    <w:rsid w:val="700639F5"/>
    <w:rsid w:val="711D2C54"/>
    <w:rsid w:val="71AD2CE1"/>
    <w:rsid w:val="73D7869A"/>
    <w:rsid w:val="7534637F"/>
    <w:rsid w:val="757BF7BB"/>
    <w:rsid w:val="76BF2278"/>
    <w:rsid w:val="76FB1816"/>
    <w:rsid w:val="76FB297B"/>
    <w:rsid w:val="77B7B111"/>
    <w:rsid w:val="77EFD612"/>
    <w:rsid w:val="77FB3BF4"/>
    <w:rsid w:val="798E65EA"/>
    <w:rsid w:val="79D7186A"/>
    <w:rsid w:val="79EBCE5B"/>
    <w:rsid w:val="79FF3DF5"/>
    <w:rsid w:val="7AB85B38"/>
    <w:rsid w:val="7AEE8249"/>
    <w:rsid w:val="7B1F5182"/>
    <w:rsid w:val="7B33D2A6"/>
    <w:rsid w:val="7B5BF243"/>
    <w:rsid w:val="7B73FF66"/>
    <w:rsid w:val="7B7D180A"/>
    <w:rsid w:val="7B9FD507"/>
    <w:rsid w:val="7BB2690A"/>
    <w:rsid w:val="7BBCA8C3"/>
    <w:rsid w:val="7BD30978"/>
    <w:rsid w:val="7BEF2951"/>
    <w:rsid w:val="7BF9A330"/>
    <w:rsid w:val="7CF2C325"/>
    <w:rsid w:val="7CFEA3EE"/>
    <w:rsid w:val="7D566992"/>
    <w:rsid w:val="7D5F3D5F"/>
    <w:rsid w:val="7D7C5882"/>
    <w:rsid w:val="7DA7CD9C"/>
    <w:rsid w:val="7DBB0239"/>
    <w:rsid w:val="7DBD552B"/>
    <w:rsid w:val="7DDE0ADE"/>
    <w:rsid w:val="7DF32A1D"/>
    <w:rsid w:val="7DFFBACD"/>
    <w:rsid w:val="7E9E61DB"/>
    <w:rsid w:val="7EAF0364"/>
    <w:rsid w:val="7ED340D1"/>
    <w:rsid w:val="7EEFD74D"/>
    <w:rsid w:val="7EFDF095"/>
    <w:rsid w:val="7F35103B"/>
    <w:rsid w:val="7F3FE810"/>
    <w:rsid w:val="7F7C2E41"/>
    <w:rsid w:val="7FAF0CDF"/>
    <w:rsid w:val="7FAFFF95"/>
    <w:rsid w:val="7FBD442F"/>
    <w:rsid w:val="7FDF18A7"/>
    <w:rsid w:val="7FDF4C28"/>
    <w:rsid w:val="7FE33FAB"/>
    <w:rsid w:val="7FE64EF2"/>
    <w:rsid w:val="7FE7BE1A"/>
    <w:rsid w:val="7FE9F943"/>
    <w:rsid w:val="7FEB2315"/>
    <w:rsid w:val="7FF730E4"/>
    <w:rsid w:val="7FFB0041"/>
    <w:rsid w:val="7FFEDC7F"/>
    <w:rsid w:val="7FFFA960"/>
    <w:rsid w:val="7FFFB91C"/>
    <w:rsid w:val="7FFFBFCB"/>
    <w:rsid w:val="7FFFC3F0"/>
    <w:rsid w:val="8F7EA51D"/>
    <w:rsid w:val="98FBC347"/>
    <w:rsid w:val="9ABEC32D"/>
    <w:rsid w:val="9EF57C05"/>
    <w:rsid w:val="9FBF25C8"/>
    <w:rsid w:val="9FE84045"/>
    <w:rsid w:val="9FEF9A98"/>
    <w:rsid w:val="A3A7FECB"/>
    <w:rsid w:val="A7D7D421"/>
    <w:rsid w:val="AAFF9B2D"/>
    <w:rsid w:val="ADBF0FE1"/>
    <w:rsid w:val="AFFFEDED"/>
    <w:rsid w:val="B0FB5ED1"/>
    <w:rsid w:val="B6BEF577"/>
    <w:rsid w:val="B6BFF720"/>
    <w:rsid w:val="B7A39AB2"/>
    <w:rsid w:val="B7FBD108"/>
    <w:rsid w:val="B7FC77F2"/>
    <w:rsid w:val="B9771590"/>
    <w:rsid w:val="B9998FBE"/>
    <w:rsid w:val="BD4EEC69"/>
    <w:rsid w:val="BDCF126D"/>
    <w:rsid w:val="BDFF319B"/>
    <w:rsid w:val="BEDFE2B0"/>
    <w:rsid w:val="BEFD6456"/>
    <w:rsid w:val="BF3B9D48"/>
    <w:rsid w:val="BF3BAE83"/>
    <w:rsid w:val="BF3BE1AA"/>
    <w:rsid w:val="BF8C0C40"/>
    <w:rsid w:val="BFA59E88"/>
    <w:rsid w:val="BFB759A3"/>
    <w:rsid w:val="BFBFC5FD"/>
    <w:rsid w:val="BFFD16B9"/>
    <w:rsid w:val="C7FBAFA0"/>
    <w:rsid w:val="C7FD82D5"/>
    <w:rsid w:val="CBFE72DF"/>
    <w:rsid w:val="CFF6DF53"/>
    <w:rsid w:val="D5FFF050"/>
    <w:rsid w:val="D6FE01EA"/>
    <w:rsid w:val="D7FB7315"/>
    <w:rsid w:val="D9F3EF10"/>
    <w:rsid w:val="DC478948"/>
    <w:rsid w:val="DCD4A0CD"/>
    <w:rsid w:val="DDB3FC92"/>
    <w:rsid w:val="DDC3F339"/>
    <w:rsid w:val="DEBBF3E0"/>
    <w:rsid w:val="DEEFB221"/>
    <w:rsid w:val="DF339779"/>
    <w:rsid w:val="DF75192E"/>
    <w:rsid w:val="DF77C4A7"/>
    <w:rsid w:val="DFBE17ED"/>
    <w:rsid w:val="DFBE4F13"/>
    <w:rsid w:val="DFDDE578"/>
    <w:rsid w:val="DFE61242"/>
    <w:rsid w:val="DFFA4B90"/>
    <w:rsid w:val="DFFD5F74"/>
    <w:rsid w:val="DFFF7D91"/>
    <w:rsid w:val="DFFFC9D4"/>
    <w:rsid w:val="E38AFFC8"/>
    <w:rsid w:val="E4DDB600"/>
    <w:rsid w:val="E77CF522"/>
    <w:rsid w:val="E7FFE84C"/>
    <w:rsid w:val="E9F5E5B1"/>
    <w:rsid w:val="E9FF5E6B"/>
    <w:rsid w:val="EABA6DD8"/>
    <w:rsid w:val="EAF71047"/>
    <w:rsid w:val="EBF70D95"/>
    <w:rsid w:val="EBFDBCF3"/>
    <w:rsid w:val="EBFFE2AC"/>
    <w:rsid w:val="ED7C3246"/>
    <w:rsid w:val="ED99A62B"/>
    <w:rsid w:val="EEBD0F63"/>
    <w:rsid w:val="EEC3816F"/>
    <w:rsid w:val="EED733C4"/>
    <w:rsid w:val="EF666229"/>
    <w:rsid w:val="EFAF2D36"/>
    <w:rsid w:val="EFCFC2BB"/>
    <w:rsid w:val="EFFEE20B"/>
    <w:rsid w:val="EFFF4B83"/>
    <w:rsid w:val="F2FEDC9D"/>
    <w:rsid w:val="F35FB732"/>
    <w:rsid w:val="F3EF933B"/>
    <w:rsid w:val="F5FF666A"/>
    <w:rsid w:val="F67F4F2B"/>
    <w:rsid w:val="F6FA7209"/>
    <w:rsid w:val="F6FD4B54"/>
    <w:rsid w:val="F6FECF01"/>
    <w:rsid w:val="F6FF64F2"/>
    <w:rsid w:val="F7BACD68"/>
    <w:rsid w:val="F7BF5F51"/>
    <w:rsid w:val="F7CEFCE9"/>
    <w:rsid w:val="F7DD51C7"/>
    <w:rsid w:val="F7DF5D82"/>
    <w:rsid w:val="F7DFB363"/>
    <w:rsid w:val="F7EFAEC0"/>
    <w:rsid w:val="F7F32047"/>
    <w:rsid w:val="F7F3E905"/>
    <w:rsid w:val="F8A7DEA6"/>
    <w:rsid w:val="F92B1D7A"/>
    <w:rsid w:val="F943088B"/>
    <w:rsid w:val="F98F5FB2"/>
    <w:rsid w:val="F9DE0C19"/>
    <w:rsid w:val="F9FFBDF1"/>
    <w:rsid w:val="FAFAF03A"/>
    <w:rsid w:val="FAFF771F"/>
    <w:rsid w:val="FB37EEBC"/>
    <w:rsid w:val="FBDFC8C1"/>
    <w:rsid w:val="FBFE326B"/>
    <w:rsid w:val="FC2F839A"/>
    <w:rsid w:val="FC6F92FD"/>
    <w:rsid w:val="FC7B1A8C"/>
    <w:rsid w:val="FCDC1D83"/>
    <w:rsid w:val="FCDF0351"/>
    <w:rsid w:val="FD7ADD0F"/>
    <w:rsid w:val="FD7DA097"/>
    <w:rsid w:val="FD9E36EE"/>
    <w:rsid w:val="FDB78464"/>
    <w:rsid w:val="FDF34D04"/>
    <w:rsid w:val="FDF67116"/>
    <w:rsid w:val="FDFF9DA1"/>
    <w:rsid w:val="FE8E6190"/>
    <w:rsid w:val="FEAF3DB9"/>
    <w:rsid w:val="FEDFC365"/>
    <w:rsid w:val="FEFDD1D4"/>
    <w:rsid w:val="FF3F66D8"/>
    <w:rsid w:val="FF57A513"/>
    <w:rsid w:val="FF5B521E"/>
    <w:rsid w:val="FF87438F"/>
    <w:rsid w:val="FF93968A"/>
    <w:rsid w:val="FFACFAAD"/>
    <w:rsid w:val="FFBE84A8"/>
    <w:rsid w:val="FFCFC0DB"/>
    <w:rsid w:val="FFD90924"/>
    <w:rsid w:val="FFDA27E7"/>
    <w:rsid w:val="FFDD9C9B"/>
    <w:rsid w:val="FFDF90F2"/>
    <w:rsid w:val="FFDFE721"/>
    <w:rsid w:val="FFE52C53"/>
    <w:rsid w:val="FFEC982A"/>
    <w:rsid w:val="FFECB1D7"/>
    <w:rsid w:val="FFECFE6F"/>
    <w:rsid w:val="FFF341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880" w:firstLineChars="200"/>
      <w:jc w:val="both"/>
    </w:pPr>
    <w:rPr>
      <w:rFonts w:ascii="仿宋_GB2312" w:hAnsi="仿宋_GB2312" w:eastAsia="仿宋_GB2312" w:cs="仿宋_GB2312"/>
      <w:kern w:val="2"/>
      <w:sz w:val="32"/>
      <w:szCs w:val="22"/>
      <w:lang w:val="en-US" w:eastAsia="zh-CN" w:bidi="ar-SA"/>
    </w:rPr>
  </w:style>
  <w:style w:type="paragraph" w:styleId="2">
    <w:name w:val="heading 1"/>
    <w:basedOn w:val="1"/>
    <w:next w:val="1"/>
    <w:qFormat/>
    <w:uiPriority w:val="0"/>
    <w:pPr>
      <w:keepNext/>
      <w:keepLines/>
      <w:spacing w:before="340" w:after="330" w:line="578" w:lineRule="atLeast"/>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character" w:customStyle="1" w:styleId="8">
    <w:name w:val="列表1"/>
    <w:basedOn w:val="7"/>
    <w:qFormat/>
    <w:uiPriority w:val="0"/>
  </w:style>
  <w:style w:type="character" w:customStyle="1" w:styleId="9">
    <w:name w:val="页眉 Char"/>
    <w:basedOn w:val="7"/>
    <w:link w:val="4"/>
    <w:semiHidden/>
    <w:qFormat/>
    <w:uiPriority w:val="99"/>
    <w:rPr>
      <w:rFonts w:ascii="仿宋_GB2312" w:hAnsi="仿宋_GB2312" w:eastAsia="仿宋_GB2312" w:cs="仿宋_GB2312"/>
      <w:sz w:val="18"/>
      <w:szCs w:val="18"/>
    </w:rPr>
  </w:style>
  <w:style w:type="character" w:customStyle="1" w:styleId="10">
    <w:name w:val="页脚 Char"/>
    <w:basedOn w:val="7"/>
    <w:link w:val="3"/>
    <w:qFormat/>
    <w:uiPriority w:val="99"/>
    <w:rPr>
      <w:rFonts w:ascii="仿宋_GB2312" w:hAnsi="仿宋_GB2312" w:eastAsia="仿宋_GB2312" w:cs="仿宋_GB2312"/>
      <w:sz w:val="18"/>
      <w:szCs w:val="18"/>
    </w:rPr>
  </w:style>
  <w:style w:type="paragraph" w:customStyle="1" w:styleId="11">
    <w:name w:val="div"/>
    <w:basedOn w:val="1"/>
    <w:qFormat/>
    <w:uiPriority w:val="0"/>
    <w:pPr>
      <w:textAlignment w:val="baseline"/>
    </w:pPr>
    <w:rPr>
      <w:sz w:val="24"/>
      <w:szCs w:val="24"/>
    </w:rPr>
  </w:style>
  <w:style w:type="character" w:customStyle="1" w:styleId="12">
    <w:name w:val="fulltext-wrap_navtiao"/>
    <w:basedOn w:val="7"/>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4</Pages>
  <Words>364</Words>
  <Characters>2080</Characters>
  <Lines>17</Lines>
  <Paragraphs>4</Paragraphs>
  <TotalTime>0</TotalTime>
  <ScaleCrop>false</ScaleCrop>
  <LinksUpToDate>false</LinksUpToDate>
  <CharactersWithSpaces>2440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2021-07-24T08:49:00Z</dcterms:created>
  <dc:creator>黄浩</dc:creator>
  <cp:lastModifiedBy>zhaigy</cp:lastModifiedBy>
  <cp:lastPrinted>2021-07-24T10:19:00Z</cp:lastPrinted>
  <dcterms:modified xsi:type="dcterms:W3CDTF">2024-08-16T10:52:59Z</dcterms:modified>
  <dc:title>深  圳  市  人  民  政  府</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264290638_embed</vt:lpwstr>
  </property>
  <property fmtid="{D5CDD505-2E9C-101B-9397-08002B2CF9AE}" pid="3" name="KSOProductBuildVer">
    <vt:lpwstr>2052-11.8.2.10681</vt:lpwstr>
  </property>
  <property fmtid="{D5CDD505-2E9C-101B-9397-08002B2CF9AE}" pid="4" name="ICV">
    <vt:lpwstr>C0D1517FB28A446BA589C016C6E07F95_13</vt:lpwstr>
  </property>
</Properties>
</file>