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B683CA">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 xml:space="preserve">深 </w:t>
      </w:r>
      <w:r>
        <w:rPr>
          <w:rFonts w:ascii="方正小标宋简体" w:eastAsia="方正小标宋简体"/>
          <w:sz w:val="44"/>
          <w:szCs w:val="44"/>
          <w:lang w:val="en"/>
        </w:rPr>
        <w:t xml:space="preserve"> </w:t>
      </w:r>
      <w:r>
        <w:rPr>
          <w:rFonts w:hint="eastAsia" w:ascii="方正小标宋简体" w:eastAsia="方正小标宋简体"/>
          <w:sz w:val="44"/>
          <w:szCs w:val="44"/>
        </w:rPr>
        <w:t xml:space="preserve">圳 </w:t>
      </w:r>
      <w:r>
        <w:rPr>
          <w:rFonts w:ascii="方正小标宋简体" w:eastAsia="方正小标宋简体"/>
          <w:sz w:val="44"/>
          <w:szCs w:val="44"/>
          <w:lang w:val="en"/>
        </w:rPr>
        <w:t xml:space="preserve"> </w:t>
      </w:r>
      <w:r>
        <w:rPr>
          <w:rFonts w:hint="eastAsia" w:ascii="方正小标宋简体" w:eastAsia="方正小标宋简体"/>
          <w:sz w:val="44"/>
          <w:szCs w:val="44"/>
        </w:rPr>
        <w:t xml:space="preserve">市 </w:t>
      </w:r>
      <w:r>
        <w:rPr>
          <w:rFonts w:ascii="方正小标宋简体" w:eastAsia="方正小标宋简体"/>
          <w:sz w:val="44"/>
          <w:szCs w:val="44"/>
          <w:lang w:val="en"/>
        </w:rPr>
        <w:t xml:space="preserve"> </w:t>
      </w:r>
      <w:r>
        <w:rPr>
          <w:rFonts w:hint="eastAsia" w:ascii="方正小标宋简体" w:eastAsia="方正小标宋简体"/>
          <w:sz w:val="44"/>
          <w:szCs w:val="44"/>
        </w:rPr>
        <w:t xml:space="preserve">人 </w:t>
      </w:r>
      <w:r>
        <w:rPr>
          <w:rFonts w:ascii="方正小标宋简体" w:eastAsia="方正小标宋简体"/>
          <w:sz w:val="44"/>
          <w:szCs w:val="44"/>
          <w:lang w:val="en"/>
        </w:rPr>
        <w:t xml:space="preserve"> </w:t>
      </w:r>
      <w:r>
        <w:rPr>
          <w:rFonts w:hint="eastAsia" w:ascii="方正小标宋简体" w:eastAsia="方正小标宋简体"/>
          <w:sz w:val="44"/>
          <w:szCs w:val="44"/>
        </w:rPr>
        <w:t xml:space="preserve">民 </w:t>
      </w:r>
      <w:r>
        <w:rPr>
          <w:rFonts w:ascii="方正小标宋简体" w:eastAsia="方正小标宋简体"/>
          <w:sz w:val="44"/>
          <w:szCs w:val="44"/>
          <w:lang w:val="en"/>
        </w:rPr>
        <w:t xml:space="preserve"> </w:t>
      </w:r>
      <w:r>
        <w:rPr>
          <w:rFonts w:hint="eastAsia" w:ascii="方正小标宋简体" w:eastAsia="方正小标宋简体"/>
          <w:sz w:val="44"/>
          <w:szCs w:val="44"/>
        </w:rPr>
        <w:t xml:space="preserve">政 </w:t>
      </w:r>
      <w:r>
        <w:rPr>
          <w:rFonts w:ascii="方正小标宋简体" w:eastAsia="方正小标宋简体"/>
          <w:sz w:val="44"/>
          <w:szCs w:val="44"/>
          <w:lang w:val="en"/>
        </w:rPr>
        <w:t xml:space="preserve"> </w:t>
      </w:r>
      <w:r>
        <w:rPr>
          <w:rFonts w:hint="eastAsia" w:ascii="方正小标宋简体" w:eastAsia="方正小标宋简体"/>
          <w:sz w:val="44"/>
          <w:szCs w:val="44"/>
        </w:rPr>
        <w:t>府</w:t>
      </w:r>
    </w:p>
    <w:p w14:paraId="51EA939B">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行政复议决定书</w:t>
      </w:r>
    </w:p>
    <w:p w14:paraId="2F2D7622">
      <w:pPr>
        <w:spacing w:line="540" w:lineRule="exact"/>
        <w:jc w:val="center"/>
        <w:rPr>
          <w:rFonts w:ascii="方正小标宋简体" w:eastAsia="方正小标宋简体"/>
          <w:sz w:val="44"/>
          <w:szCs w:val="44"/>
        </w:rPr>
      </w:pPr>
    </w:p>
    <w:p w14:paraId="7E19B224">
      <w:pPr>
        <w:spacing w:line="540" w:lineRule="exact"/>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深府行复〔20</w:t>
      </w:r>
      <w:r>
        <w:rPr>
          <w:rFonts w:ascii="仿宋_GB2312" w:hAnsi="仿宋_GB2312" w:eastAsia="仿宋_GB2312" w:cs="仿宋_GB2312"/>
          <w:sz w:val="32"/>
          <w:szCs w:val="32"/>
        </w:rPr>
        <w:t>24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1331</w:t>
      </w:r>
      <w:r>
        <w:rPr>
          <w:rFonts w:hint="eastAsia" w:ascii="仿宋_GB2312" w:hAnsi="仿宋_GB2312" w:eastAsia="仿宋_GB2312" w:cs="仿宋_GB2312"/>
          <w:sz w:val="32"/>
          <w:szCs w:val="32"/>
        </w:rPr>
        <w:t>号</w:t>
      </w:r>
    </w:p>
    <w:p w14:paraId="3AD40D55">
      <w:pPr>
        <w:spacing w:line="620" w:lineRule="exact"/>
        <w:rPr>
          <w:rFonts w:eastAsia="仿宋_GB2312"/>
          <w:sz w:val="32"/>
          <w:u w:val="single"/>
        </w:rPr>
      </w:pPr>
    </w:p>
    <w:p w14:paraId="3130D31F">
      <w:pPr>
        <w:widowControl/>
        <w:wordWrap w:val="0"/>
        <w:spacing w:line="600" w:lineRule="exact"/>
        <w:ind w:firstLine="596" w:firstLineChars="200"/>
        <w:rPr>
          <w:rFonts w:ascii="仿宋_GB2312" w:eastAsia="仿宋_GB2312"/>
          <w:sz w:val="32"/>
          <w:szCs w:val="32"/>
        </w:rPr>
      </w:pPr>
      <w:r>
        <w:rPr>
          <w:rFonts w:hint="eastAsia" w:ascii="黑体" w:hAnsi="黑体" w:eastAsia="黑体" w:cs="黑体"/>
          <w:spacing w:val="-11"/>
          <w:sz w:val="32"/>
          <w:szCs w:val="32"/>
        </w:rPr>
        <w:t>申请人：</w:t>
      </w:r>
      <w:r>
        <w:rPr>
          <w:rFonts w:hint="eastAsia" w:ascii="仿宋_GB2312" w:hAnsi="仿宋_GB2312" w:eastAsia="仿宋_GB2312" w:cs="仿宋_GB2312"/>
          <w:spacing w:val="-11"/>
          <w:sz w:val="32"/>
          <w:szCs w:val="32"/>
        </w:rPr>
        <w:t>李某</w:t>
      </w:r>
    </w:p>
    <w:p w14:paraId="39200CA0">
      <w:pPr>
        <w:wordWrap w:val="0"/>
        <w:spacing w:line="600" w:lineRule="exact"/>
        <w:ind w:firstLine="640" w:firstLineChars="200"/>
        <w:rPr>
          <w:rFonts w:ascii="仿宋_GB2312" w:eastAsia="仿宋_GB2312"/>
          <w:sz w:val="32"/>
          <w:szCs w:val="32"/>
        </w:rPr>
      </w:pPr>
      <w:r>
        <w:rPr>
          <w:rFonts w:hint="eastAsia" w:ascii="黑体" w:hAnsi="黑体" w:eastAsia="黑体" w:cs="黑体"/>
          <w:sz w:val="32"/>
          <w:szCs w:val="32"/>
        </w:rPr>
        <w:t>被申请人：</w:t>
      </w:r>
      <w:r>
        <w:rPr>
          <w:rFonts w:hint="eastAsia" w:ascii="仿宋_GB2312" w:eastAsia="仿宋_GB2312"/>
          <w:sz w:val="32"/>
          <w:szCs w:val="32"/>
        </w:rPr>
        <w:t>深圳市社会保险基金管理局</w:t>
      </w:r>
    </w:p>
    <w:p w14:paraId="1D913117">
      <w:pPr>
        <w:widowControl/>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地址：深圳市福田区深南大道8005号深圳人才园</w:t>
      </w:r>
    </w:p>
    <w:p w14:paraId="66150676">
      <w:pPr>
        <w:spacing w:line="600" w:lineRule="exact"/>
        <w:ind w:firstLine="640" w:firstLineChars="200"/>
        <w:rPr>
          <w:rFonts w:ascii="仿宋_GB2312" w:eastAsia="仿宋_GB2312"/>
          <w:sz w:val="32"/>
          <w:szCs w:val="32"/>
        </w:rPr>
      </w:pPr>
      <w:r>
        <w:rPr>
          <w:rFonts w:hint="eastAsia" w:ascii="仿宋_GB2312" w:eastAsia="仿宋_GB2312"/>
          <w:sz w:val="32"/>
          <w:szCs w:val="32"/>
        </w:rPr>
        <w:t>法定代表人</w:t>
      </w:r>
      <w:r>
        <w:rPr>
          <w:rFonts w:ascii="仿宋_GB2312" w:eastAsia="仿宋_GB2312"/>
          <w:sz w:val="32"/>
          <w:szCs w:val="32"/>
        </w:rPr>
        <w:t>：</w:t>
      </w:r>
      <w:r>
        <w:rPr>
          <w:rFonts w:hint="eastAsia" w:ascii="仿宋_GB2312" w:eastAsia="仿宋_GB2312"/>
          <w:sz w:val="32"/>
          <w:szCs w:val="32"/>
        </w:rPr>
        <w:t>唐征勋，局长</w:t>
      </w:r>
    </w:p>
    <w:p w14:paraId="4FA5C52B">
      <w:pPr>
        <w:spacing w:line="580" w:lineRule="exact"/>
        <w:ind w:left="638" w:leftChars="304"/>
        <w:rPr>
          <w:rFonts w:ascii="仿宋_GB2312" w:eastAsia="仿宋_GB2312"/>
          <w:sz w:val="32"/>
          <w:szCs w:val="32"/>
        </w:rPr>
      </w:pPr>
      <w:r>
        <w:rPr>
          <w:rFonts w:hint="eastAsia" w:ascii="仿宋_GB2312" w:eastAsia="仿宋_GB2312"/>
          <w:sz w:val="32"/>
          <w:szCs w:val="32"/>
        </w:rPr>
        <w:t>委托代理人：罗嘉森、陈扬</w:t>
      </w:r>
      <w:r>
        <w:rPr>
          <w:rFonts w:ascii="仿宋_GB2312" w:eastAsia="仿宋_GB2312"/>
          <w:sz w:val="32"/>
          <w:szCs w:val="32"/>
        </w:rPr>
        <w:t>，</w:t>
      </w:r>
      <w:r>
        <w:rPr>
          <w:rFonts w:hint="eastAsia" w:ascii="仿宋_GB2312" w:eastAsia="仿宋_GB2312"/>
          <w:sz w:val="32"/>
          <w:szCs w:val="32"/>
        </w:rPr>
        <w:t>广东中全律师事务所律师</w:t>
      </w:r>
    </w:p>
    <w:p w14:paraId="2589D678">
      <w:pPr>
        <w:spacing w:line="580" w:lineRule="exact"/>
        <w:ind w:firstLine="640" w:firstLineChars="200"/>
        <w:rPr>
          <w:rFonts w:ascii="仿宋_GB2312" w:hAnsi="仿宋_GB2312" w:eastAsia="仿宋_GB2312" w:cs="仿宋_GB2312"/>
          <w:sz w:val="32"/>
          <w:szCs w:val="32"/>
        </w:rPr>
      </w:pPr>
    </w:p>
    <w:p w14:paraId="33F576E3">
      <w:pPr>
        <w:spacing w:line="580" w:lineRule="exact"/>
        <w:ind w:firstLine="640" w:firstLineChars="200"/>
        <w:rPr>
          <w:rFonts w:ascii="仿宋_GB2312" w:eastAsia="仿宋_GB2312"/>
          <w:sz w:val="32"/>
          <w:szCs w:val="32"/>
        </w:rPr>
      </w:pPr>
      <w:r>
        <w:rPr>
          <w:rFonts w:hint="eastAsia" w:ascii="仿宋_GB2312" w:hAnsi="仿宋_GB2312" w:eastAsia="仿宋_GB2312" w:cs="仿宋_GB2312"/>
          <w:sz w:val="32"/>
          <w:szCs w:val="32"/>
        </w:rPr>
        <w:t>申请人</w:t>
      </w:r>
      <w:r>
        <w:rPr>
          <w:rFonts w:ascii="仿宋_GB2312" w:hAnsi="仿宋_GB2312" w:eastAsia="仿宋_GB2312" w:cs="仿宋_GB2312"/>
          <w:sz w:val="32"/>
          <w:szCs w:val="32"/>
        </w:rPr>
        <w:t>因</w:t>
      </w:r>
      <w:r>
        <w:rPr>
          <w:rFonts w:hint="eastAsia" w:ascii="仿宋_GB2312" w:hAnsi="仿宋_GB2312" w:eastAsia="仿宋_GB2312" w:cs="仿宋_GB2312"/>
          <w:sz w:val="32"/>
          <w:szCs w:val="32"/>
        </w:rPr>
        <w:t>不服被申请人于2024年1月18日以深社保职养金核决字〔2024〕××号《深圳市企业职工养老保险养老金核准决定书》作出的行政行为，向本机关申请行政复议，本机关</w:t>
      </w:r>
      <w:r>
        <w:rPr>
          <w:rFonts w:ascii="仿宋_GB2312" w:hAnsi="仿宋_GB2312" w:eastAsia="仿宋_GB2312" w:cs="仿宋_GB2312"/>
          <w:sz w:val="32"/>
          <w:szCs w:val="32"/>
        </w:rPr>
        <w:t>已</w:t>
      </w:r>
      <w:r>
        <w:rPr>
          <w:rFonts w:hint="eastAsia" w:ascii="仿宋_GB2312" w:hAnsi="仿宋_GB2312" w:eastAsia="仿宋_GB2312" w:cs="仿宋_GB2312"/>
          <w:sz w:val="32"/>
          <w:szCs w:val="32"/>
        </w:rPr>
        <w:t>依法受理</w:t>
      </w:r>
      <w:r>
        <w:rPr>
          <w:rFonts w:ascii="仿宋_GB2312" w:hAnsi="仿宋_GB2312" w:eastAsia="仿宋_GB2312" w:cs="仿宋_GB2312"/>
          <w:sz w:val="32"/>
          <w:szCs w:val="32"/>
        </w:rPr>
        <w:t>，并适用普通</w:t>
      </w:r>
      <w:r>
        <w:rPr>
          <w:rFonts w:ascii="仿宋_GB2312" w:eastAsia="仿宋_GB2312"/>
          <w:sz w:val="32"/>
          <w:szCs w:val="32"/>
        </w:rPr>
        <w:t>程序审理</w:t>
      </w:r>
      <w:r>
        <w:rPr>
          <w:rFonts w:hint="eastAsia" w:ascii="仿宋_GB2312" w:eastAsia="仿宋_GB2312"/>
          <w:sz w:val="32"/>
          <w:szCs w:val="32"/>
        </w:rPr>
        <w:t>。被申请人向本机关提交了书面答复及作出该行政行为的有关证据和依据，本案现已审理终结。</w:t>
      </w:r>
    </w:p>
    <w:p w14:paraId="6ADEAC44">
      <w:pPr>
        <w:spacing w:line="58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申请人称：</w:t>
      </w:r>
      <w:r>
        <w:rPr>
          <w:rFonts w:hint="eastAsia" w:ascii="仿宋_GB2312" w:hAnsi="仿宋_GB2312" w:eastAsia="仿宋_GB2312" w:cs="仿宋_GB2312"/>
          <w:sz w:val="32"/>
          <w:szCs w:val="32"/>
        </w:rPr>
        <w:t>申请人于1980年7月至2002年12月在广东省梅州市××供销社工作，属正式职工，视同缴费年限13.5年，单位和个人缴费8.5年。2003年来深圳打工，先后在市民政局、养老护理院、学校、医院等单位从事安保工作，为确保重点单位、人员安全，申请人日夜轮班一直坚守岗位，多次受到单位领导表扬和奖励，期间在深圳共缴费8.8年。由于长期日夜轮班，申请人患上严重高血压。直到2023年10月退休，两地合计共缴养老保险30.8年。申请人在2024年1月份拿到养老金核算表后，发现与同等缴费年限情况的人员养老金差别巨大，申请人的退休金过低，多次到12333和12345申诉，都得不到圆满的回复，希望能够按照最新社保政策给予重新核算。</w:t>
      </w:r>
    </w:p>
    <w:p w14:paraId="7B83A9AE">
      <w:pPr>
        <w:spacing w:line="580" w:lineRule="exact"/>
        <w:ind w:firstLine="640" w:firstLineChars="200"/>
        <w:rPr>
          <w:rFonts w:ascii="仿宋_GB2312" w:eastAsia="仿宋_GB2312"/>
          <w:sz w:val="32"/>
          <w:szCs w:val="32"/>
        </w:rPr>
      </w:pPr>
      <w:r>
        <w:rPr>
          <w:rFonts w:ascii="仿宋_GB2312" w:eastAsia="仿宋_GB2312"/>
          <w:sz w:val="32"/>
          <w:szCs w:val="32"/>
        </w:rPr>
        <w:t xml:space="preserve">请求： </w:t>
      </w:r>
      <w:r>
        <w:rPr>
          <w:rFonts w:hint="eastAsia" w:ascii="仿宋_GB2312" w:eastAsia="仿宋_GB2312"/>
          <w:sz w:val="32"/>
          <w:szCs w:val="32"/>
        </w:rPr>
        <w:t>撤销被申请人作出的深社保职养金核决字〔2024〕××号《深圳市企业职工养老保险养老金核准决定书》，重新核算养老保险待遇。</w:t>
      </w:r>
    </w:p>
    <w:p w14:paraId="05117785">
      <w:pPr>
        <w:spacing w:line="58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被申请人答复称：</w:t>
      </w:r>
      <w:r>
        <w:rPr>
          <w:rFonts w:hint="eastAsia" w:ascii="仿宋_GB2312" w:hAnsi="仿宋_GB2312" w:eastAsia="仿宋_GB2312" w:cs="仿宋_GB2312"/>
          <w:sz w:val="32"/>
          <w:szCs w:val="32"/>
        </w:rPr>
        <w:t>一、被申请人作出行政行为的依据。申请人于2023年10月13日向被申请人申请办理正常退休手续；因省系统建档复核要求，被申请人在审核申请人提交的《深圳市企业职工养老保险养老金申请表》、身份证、户口簿、职工原始档案等材料后，初步核定申请人具体的视同缴费年限后，决定于2023年12月25日进行受理。</w:t>
      </w:r>
    </w:p>
    <w:p w14:paraId="0A22CDCF">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被申请人根据申请人的身份户籍信息确认申请人的出生年月为1963年10月，广东省丰顺人。经审核申请人的原始档案材料，可确定该员工1980年7月至2002年5月在广东省梅州市工作，其中视同缴费月数为162个月，1994年1月至2002年5月为补缴缴费，缴费类型为补收核定（实际缴费101个月）。申请人于2013年8月开始在深圳市参加职工养老保险，在深圳市实际缴费104个月。</w:t>
      </w:r>
    </w:p>
    <w:p w14:paraId="743E4348">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故综合上述情形，根据《深圳经济特区社会养老保险条例》（以下简称《养老保险条例》）第二十条、第二十五条、《〈深圳经济特区社会养老保险条例〉实施细则》（以下简称《实施细则》）第十八条、第十九条及《关于贯彻国务院完善企业职工基本养老保险制度决定的通知》（粤府〔2006〕96号，以下简称《省办法》）第三条、第五条的规定、《广东省人民政府关于完善企业职工基本养老保险过渡性养老金计发办法等事项的通知》（粤府函〔2021〕294号）、《关于贯彻落实完善企业职工基本养老保险过渡性养老金计发办法等事项处理意见的通知》(粤人社规〔2021〕24号)的规定，被申请人作出</w:t>
      </w:r>
      <w:r>
        <w:rPr>
          <w:rFonts w:ascii="仿宋_GB2312" w:hAnsi="仿宋_GB2312" w:eastAsia="仿宋_GB2312" w:cs="仿宋_GB2312"/>
          <w:sz w:val="32"/>
          <w:szCs w:val="32"/>
        </w:rPr>
        <w:t>涉案</w:t>
      </w:r>
      <w:r>
        <w:rPr>
          <w:rFonts w:hint="eastAsia" w:ascii="仿宋_GB2312" w:hAnsi="仿宋_GB2312" w:eastAsia="仿宋_GB2312" w:cs="仿宋_GB2312"/>
          <w:sz w:val="32"/>
          <w:szCs w:val="32"/>
        </w:rPr>
        <w:t>养老金核准决定，其中列明申请人从2023年11月起按月领取：统筹养老金、个人帐户养老金、过渡性养老金、过渡性养老金调整额等共计2662.32元养老保险待遇。</w:t>
      </w:r>
    </w:p>
    <w:p w14:paraId="13A80D22">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二、申请人的主张不成立。申请人主张：申请人退休金对比省内省外的同等缴费和年限，存在差别，退休金核算较低。</w:t>
      </w:r>
    </w:p>
    <w:p w14:paraId="46DADB80">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对于上述主张，被申请人认为：第一，依照《养老保险条例》第二十五条规定“依照国家和广东省有关规定将养老保险关系转入本市的非本市户籍参保人，达到法定退休年龄时，在本市实际缴费年限累计满十年，且累计缴费年限满十五年的，依照本条例的规定计发养老保险待遇；在本市实际缴费年限累计不满十年，但是按照广东省有关规定符合在我市按月领取基本养老金的人员，依照广东省的有关规定计发基本养老保险待遇”。申请人在达到法定退休年龄时属非深圳户籍，且在本市实际缴费年限累计不满十年，而按照广东省有关规定符合在我市按月领取基本养老金，故依照上述规定按照广东省有关规定计发养老待遇。</w:t>
      </w:r>
    </w:p>
    <w:p w14:paraId="5523958A">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二，广东省有关计发养老待遇的主要政策法规依据为：《省办法》《广东省人民政府关于完善企业职工基本养老保险过渡性养老金计发办法等事项的通知》（粤府函〔2021〕294号，以下简称《通知》）、《关于贯彻落实完善企业职工基本养老保险过渡性养老金计发办法等事项处理意见的通知》(粤人社规〔2021〕24号)。</w:t>
      </w:r>
    </w:p>
    <w:p w14:paraId="512CB961">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三，依照《省办法》第三条第（二）项第1目的规定“基础养老金=（全省上年度在岗职工月平均工资×a+本人指数化月平均缴费工资）÷2×缴费年限（含视同缴费年限）×1%”，申请人的基础养老金为（9028×0.6703÷0.6+3631.06）÷2×30.5833×1%=1480.62元；注：因申请人的月平均缴费指数为0.4022，低于0.6，故按照上述规定，其计算公式中的a=月平均缴费指数÷0.6。</w:t>
      </w:r>
    </w:p>
    <w:p w14:paraId="3BD0ADCF">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依照《省办法》第三条第（二）项第1目的规定“以本人首次领取基本养老金时个人账户储存额除以计发月数，计发月数按国发〔2005〕38号文的规定执行”，申请人的个人账户养老金=28437.61÷139=204.59元。</w:t>
      </w:r>
    </w:p>
    <w:p w14:paraId="4FA8A36F">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依照《省办法》附件3《视同缴费账户建账和管理办法》第二条的规定，核算出申请人的视同缴费账户总额为65621.05，而后依照《省办法》第三条第（二）项第3目的规定“1998年6月30日前参加基本养老保险的，以首次领取基本养老金时本人视同缴费账户总额除以120”，按照视同账户法申请人过渡性养老金为65621.05÷120≈546.84。</w:t>
      </w:r>
    </w:p>
    <w:p w14:paraId="1392ACDF">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另，根据《深圳市人力资源和社会保障局、深圳市财政委员会关于建立企业职工养老保险缴费年限津贴的通知》（深人社规〔2014〕5号）第一条的规定：符合在我市按月领取基本养老金条件的企业退休人员，缴费年限（含视同缴费年限和一次性缴费年限，下同）每满一年计发4元/月缴费年限津贴，不满一年不计发。年限津贴标准30×4=120元。按照《广东省劳动和社会保障厅关于改革完善企业职工养老保险基本养老金计发办法的通知》（粤劳社电〔2009〕32号）第三条的规定，统一按每人每月加发100元的标准执行过渡性养老金的标准。故申请人的过渡性养老金为546.84+120+100=766.84元。</w:t>
      </w:r>
    </w:p>
    <w:p w14:paraId="7CFEAECA">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依照《通知》第一条第（一）项的规定1998年6月30日以前参保且2021年1月1日起首次领取基本养老金的参保人，首次领取的过渡性养老金，按以下办法计算：首次领取的过渡性养老金月标准=退休时职工基本养老金计发基数×本人1998年6月前的平均缴费指数×(视同缴费年限+1998年6月前实际缴费年限)×1.2%。申请人按照系数法过渡性养老金为9028×0.496×（13.5+4.5）×1.2%≈967.22元。</w:t>
      </w:r>
    </w:p>
    <w:p w14:paraId="51847C09">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关于贯彻落实完善企业职工基本养老保险过渡性养老金计发办法等事项处理意见的通知》（粤人社规〔2021〕24号）第三大点第一小点的第一条第二款规定：过渡期加发标准=（退休当年按新办法计算的过渡性养老金-退休当年按原办法计算的过渡性养老金）×当年过渡性养老金发放比例-缴费年限津贴×当年地方性养老金项目减发比例。另在   （粤人社规〔2021〕24号）中第一、二大点中列明：2021年至2025年的过渡养老金加发和地方养老待遇减发比例均是30%、50%、70%、90%、100%。因此，2023年过渡性养老金调整额=（967.22-546.84-120）×70%≈210.27元。</w:t>
      </w:r>
    </w:p>
    <w:p w14:paraId="62973A76">
      <w:pPr>
        <w:spacing w:line="580" w:lineRule="exact"/>
        <w:ind w:firstLine="640" w:firstLineChars="200"/>
        <w:rPr>
          <w:rFonts w:ascii="仿宋_GB2312" w:eastAsia="仿宋_GB2312"/>
          <w:sz w:val="32"/>
          <w:szCs w:val="32"/>
        </w:rPr>
      </w:pPr>
      <w:r>
        <w:rPr>
          <w:rFonts w:hint="eastAsia" w:ascii="仿宋_GB2312" w:hAnsi="仿宋_GB2312" w:eastAsia="仿宋_GB2312" w:cs="仿宋_GB2312"/>
          <w:sz w:val="32"/>
          <w:szCs w:val="32"/>
        </w:rPr>
        <w:t>综上，根据以上事实与依据，被申请人认为：申请人的请求没有依据，被申请人的行政行为符合深圳市历年所制定的基本养老保险法规与规章，与国家的退休政策相一致，申请人的诉求没有事实以及政策法规依据，请求依法驳回申请人诉求。</w:t>
      </w:r>
    </w:p>
    <w:p w14:paraId="5EAAAEDC">
      <w:pPr>
        <w:spacing w:line="58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经查：</w:t>
      </w:r>
      <w:r>
        <w:rPr>
          <w:rFonts w:hint="eastAsia" w:ascii="仿宋_GB2312" w:hAnsi="仿宋_GB2312" w:eastAsia="仿宋_GB2312" w:cs="仿宋_GB2312"/>
          <w:sz w:val="32"/>
          <w:szCs w:val="32"/>
        </w:rPr>
        <w:t>2023年10月13日，申请人向被申请人申请办理企业职工养老保险养老金申领业务，向被申请人提交了《深圳市企业职工养老保险养老金申请表》、身份证、户口簿、职工原始档案等材料。</w:t>
      </w:r>
    </w:p>
    <w:p w14:paraId="550320A3">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申请人的原始档案材料显示：申请人于1980年7月至2002年5月在广东省梅州市××供销社工作。被申请人认定申请人的视同缴费年限为162个月，1994年1月至2002年5月为补缴缴费，缴费类型为补收核定（实际缴费101个月）。申请人的社保参保记录显示：申请人于2013年8月开始在深圳市参加职工养老保险，在深圳市实际缴费104个月。</w:t>
      </w:r>
    </w:p>
    <w:p w14:paraId="7407EA93">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1月18日，被申请人作出深社保职养金核决字〔2024〕××号《深圳市企业职工养老保险养老金核准决定书》，并附《深圳市企业职工养老保险养老金核定单》，载明申请人参加工作时间为1980年7月，总缴费年限为30 年7月，根据《深圳经济特区社会养老保险条例》第二十条、第二十五条、《〈深圳经济特区社会养老保险条例〉实施细则》第十八条、第十九条及《关于贯彻国务院完善企业职工基本养老保险制度决定的通知》第三条、第五条的规定、《广东省人民政府关于完善企业职工基本养老保险过渡性养老金计发办法等事项的通知》《关于贯彻落实完善企业职工基本养老保险过渡性养老金计发办法等事项处理意见的通知》的规定，核准由社保基金从2023年11月起按月支付申请人企业职工养老保险养老金，含基础养老金、个人账户养老金、过渡性养老金、过渡性养老金调整额，合计2662.32元。申请人不服，申请行政复议。</w:t>
      </w:r>
    </w:p>
    <w:p w14:paraId="6EBEEFAD">
      <w:pPr>
        <w:spacing w:line="58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另查：</w:t>
      </w:r>
      <w:r>
        <w:rPr>
          <w:rFonts w:hint="eastAsia" w:ascii="仿宋_GB2312" w:hAnsi="仿宋_GB2312" w:eastAsia="仿宋_GB2312" w:cs="仿宋_GB2312"/>
          <w:sz w:val="32"/>
          <w:szCs w:val="32"/>
        </w:rPr>
        <w:t>被申请人于2024年3月12日作出《关于更正李</w:t>
      </w:r>
      <w:r>
        <w:rPr>
          <w:rFonts w:hint="eastAsia" w:ascii="仿宋_GB2312" w:hAnsi="仿宋_GB2312" w:eastAsia="仿宋_GB2312" w:cs="仿宋_GB2312"/>
          <w:sz w:val="32"/>
          <w:szCs w:val="32"/>
          <w:lang w:val="en-US" w:eastAsia="zh-CN"/>
        </w:rPr>
        <w:t>某</w:t>
      </w:r>
      <w:bookmarkStart w:id="0" w:name="_GoBack"/>
      <w:bookmarkEnd w:id="0"/>
      <w:r>
        <w:rPr>
          <w:rFonts w:hint="eastAsia" w:ascii="仿宋_GB2312" w:hAnsi="仿宋_GB2312" w:eastAsia="仿宋_GB2312" w:cs="仿宋_GB2312"/>
          <w:sz w:val="32"/>
          <w:szCs w:val="32"/>
        </w:rPr>
        <w:t>〈深圳市企业职工养老保险养老金核定单〉的告知书》，对于“过渡性养老金调整额”的计算过程进行更正，计算结果不变，仍为210.27元。</w:t>
      </w:r>
    </w:p>
    <w:p w14:paraId="2DFDBDCE">
      <w:pPr>
        <w:spacing w:line="580" w:lineRule="exact"/>
        <w:ind w:firstLine="640" w:firstLineChars="200"/>
        <w:rPr>
          <w:rFonts w:ascii="仿宋_GB2312" w:hAnsi="仿宋_GB2312" w:eastAsia="仿宋_GB2312" w:cs="仿宋_GB2312"/>
          <w:sz w:val="32"/>
          <w:szCs w:val="32"/>
        </w:rPr>
      </w:pPr>
      <w:r>
        <w:rPr>
          <w:rFonts w:ascii="黑体" w:hAnsi="黑体" w:eastAsia="黑体" w:cs="黑体"/>
          <w:sz w:val="32"/>
          <w:szCs w:val="32"/>
        </w:rPr>
        <w:t>本机关认为：</w:t>
      </w:r>
      <w:r>
        <w:rPr>
          <w:rFonts w:hint="eastAsia" w:ascii="仿宋_GB2312" w:hAnsi="仿宋_GB2312" w:eastAsia="仿宋_GB2312" w:cs="仿宋_GB2312"/>
          <w:sz w:val="32"/>
          <w:szCs w:val="32"/>
        </w:rPr>
        <w:t>本案的争议焦点为被申请人核算的养老保险待遇是否准确。</w:t>
      </w:r>
    </w:p>
    <w:p w14:paraId="7A674859">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本案，首先，申请人在达到法定退休年龄时属非深圳户籍参保人，其在深圳市实际缴费年限累计不满十年，</w:t>
      </w:r>
      <w:r>
        <w:rPr>
          <w:rFonts w:ascii="仿宋_GB2312" w:hAnsi="仿宋_GB2312" w:eastAsia="仿宋_GB2312" w:cs="仿宋_GB2312"/>
          <w:sz w:val="32"/>
          <w:szCs w:val="32"/>
        </w:rPr>
        <w:t>不能依照《深圳经济特区社会养老保险条例》的规定计发养老保险待遇；</w:t>
      </w:r>
      <w:r>
        <w:rPr>
          <w:rFonts w:hint="eastAsia" w:ascii="仿宋_GB2312" w:hAnsi="仿宋_GB2312" w:eastAsia="仿宋_GB2312" w:cs="仿宋_GB2312"/>
          <w:sz w:val="32"/>
          <w:szCs w:val="32"/>
        </w:rPr>
        <w:t>但</w:t>
      </w:r>
      <w:r>
        <w:rPr>
          <w:rFonts w:ascii="仿宋_GB2312" w:hAnsi="仿宋_GB2312" w:eastAsia="仿宋_GB2312" w:cs="仿宋_GB2312"/>
          <w:sz w:val="32"/>
          <w:szCs w:val="32"/>
        </w:rPr>
        <w:t>其</w:t>
      </w:r>
      <w:r>
        <w:rPr>
          <w:rFonts w:hint="eastAsia" w:ascii="仿宋_GB2312" w:hAnsi="仿宋_GB2312" w:eastAsia="仿宋_GB2312" w:cs="仿宋_GB2312"/>
          <w:sz w:val="32"/>
          <w:szCs w:val="32"/>
        </w:rPr>
        <w:t>属于按照广东省有关规定符合在深圳市按月领取基本养老金的人员，故</w:t>
      </w:r>
      <w:r>
        <w:rPr>
          <w:rFonts w:ascii="仿宋_GB2312" w:hAnsi="仿宋_GB2312" w:eastAsia="仿宋_GB2312" w:cs="仿宋_GB2312"/>
          <w:sz w:val="32"/>
          <w:szCs w:val="32"/>
        </w:rPr>
        <w:t>应</w:t>
      </w:r>
      <w:r>
        <w:rPr>
          <w:rFonts w:hint="eastAsia" w:ascii="仿宋_GB2312" w:hAnsi="仿宋_GB2312" w:eastAsia="仿宋_GB2312" w:cs="仿宋_GB2312"/>
          <w:sz w:val="32"/>
          <w:szCs w:val="32"/>
        </w:rPr>
        <w:t>依照广东省的有关规定</w:t>
      </w:r>
      <w:r>
        <w:rPr>
          <w:rFonts w:ascii="仿宋_GB2312" w:hAnsi="仿宋_GB2312" w:eastAsia="仿宋_GB2312" w:cs="仿宋_GB2312"/>
          <w:sz w:val="32"/>
          <w:szCs w:val="32"/>
        </w:rPr>
        <w:t>为申请人</w:t>
      </w:r>
      <w:r>
        <w:rPr>
          <w:rFonts w:hint="eastAsia" w:ascii="仿宋_GB2312" w:hAnsi="仿宋_GB2312" w:eastAsia="仿宋_GB2312" w:cs="仿宋_GB2312"/>
          <w:sz w:val="32"/>
          <w:szCs w:val="32"/>
        </w:rPr>
        <w:t>计发基本养老保险待遇。其次，根据在案证据，能够认定申请人于1980年7月参加工作，被申请人根据其档案和参保记录核算其养老保险缴费年限为30年7月，由此依照</w:t>
      </w:r>
      <w:r>
        <w:rPr>
          <w:rFonts w:ascii="仿宋_GB2312" w:eastAsia="仿宋_GB2312" w:cs="仿宋_GB2312"/>
          <w:sz w:val="32"/>
          <w:szCs w:val="32"/>
          <w:lang w:bidi="ar"/>
        </w:rPr>
        <w:t>《深圳经济特区社会养老保险条例》《〈深圳经济特区社会养老保险条例〉实施细则》《关于贯彻国务院完善企业职工基本养老保险制度决定的通知》《广东省人民政府关于完善企业职工基本养老保险过渡性养老金计发办法等事项的通知》《关于贯彻落实完善企业职工基本养老保险过渡性养老金计发办法等事项处理意见的通知》</w:t>
      </w:r>
      <w:r>
        <w:rPr>
          <w:rFonts w:hint="eastAsia" w:ascii="仿宋_GB2312" w:hAnsi="仿宋_GB2312" w:eastAsia="仿宋_GB2312" w:cs="仿宋_GB2312"/>
          <w:sz w:val="32"/>
          <w:szCs w:val="32"/>
        </w:rPr>
        <w:t>相关规定，核算其企业职工养老保险金为含基础养老金1480.62元、个人账户养老金204</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59元、过渡性养老金</w:t>
      </w:r>
      <w:r>
        <w:rPr>
          <w:rFonts w:ascii="仿宋_GB2312" w:hAnsi="仿宋_GB2312" w:eastAsia="仿宋_GB2312" w:cs="仿宋_GB2312"/>
          <w:sz w:val="32"/>
          <w:szCs w:val="32"/>
        </w:rPr>
        <w:t>766.84</w:t>
      </w:r>
      <w:r>
        <w:rPr>
          <w:rFonts w:hint="eastAsia" w:ascii="仿宋_GB2312" w:hAnsi="仿宋_GB2312" w:eastAsia="仿宋_GB2312" w:cs="仿宋_GB2312"/>
          <w:sz w:val="32"/>
          <w:szCs w:val="32"/>
        </w:rPr>
        <w:t>元、过渡性养老金调整额</w:t>
      </w:r>
      <w:r>
        <w:rPr>
          <w:rFonts w:ascii="仿宋_GB2312" w:hAnsi="仿宋_GB2312" w:eastAsia="仿宋_GB2312" w:cs="仿宋_GB2312"/>
          <w:sz w:val="32"/>
          <w:szCs w:val="32"/>
        </w:rPr>
        <w:t>210.27</w:t>
      </w:r>
      <w:r>
        <w:rPr>
          <w:rFonts w:hint="eastAsia" w:ascii="仿宋_GB2312" w:hAnsi="仿宋_GB2312" w:eastAsia="仿宋_GB2312" w:cs="仿宋_GB2312"/>
          <w:sz w:val="32"/>
          <w:szCs w:val="32"/>
        </w:rPr>
        <w:t>元，合计</w:t>
      </w:r>
      <w:r>
        <w:rPr>
          <w:rFonts w:ascii="仿宋_GB2312" w:hAnsi="仿宋_GB2312" w:eastAsia="仿宋_GB2312" w:cs="仿宋_GB2312"/>
          <w:sz w:val="32"/>
          <w:szCs w:val="32"/>
        </w:rPr>
        <w:t>2662.32</w:t>
      </w:r>
      <w:r>
        <w:rPr>
          <w:rFonts w:hint="eastAsia" w:ascii="仿宋_GB2312" w:hAnsi="仿宋_GB2312" w:eastAsia="仿宋_GB2312" w:cs="仿宋_GB2312"/>
          <w:sz w:val="32"/>
          <w:szCs w:val="32"/>
        </w:rPr>
        <w:t>元，核算无误，涉案决定依法应予维持。</w:t>
      </w:r>
    </w:p>
    <w:p w14:paraId="674F673B">
      <w:pPr>
        <w:spacing w:line="580" w:lineRule="exact"/>
        <w:ind w:firstLine="640" w:firstLineChars="200"/>
        <w:rPr>
          <w:rFonts w:ascii="仿宋_GB2312" w:eastAsia="仿宋_GB2312"/>
          <w:sz w:val="32"/>
          <w:szCs w:val="32"/>
        </w:rPr>
      </w:pPr>
      <w:r>
        <w:rPr>
          <w:rFonts w:hint="eastAsia" w:ascii="仿宋_GB2312" w:hAnsi="仿宋_GB2312" w:eastAsia="仿宋_GB2312"/>
          <w:sz w:val="32"/>
        </w:rPr>
        <w:t>综上，</w:t>
      </w:r>
      <w:r>
        <w:rPr>
          <w:rFonts w:hint="eastAsia" w:ascii="仿宋_GB2312" w:hAnsi="仿宋_GB2312" w:eastAsia="仿宋_GB2312" w:cs="仿宋_GB2312"/>
          <w:sz w:val="32"/>
          <w:szCs w:val="32"/>
        </w:rPr>
        <w:t>依照《中华人民共和国行政复议法》第六十八条的规定，本机关作出复议决定如下：</w:t>
      </w:r>
    </w:p>
    <w:p w14:paraId="6C3827A9">
      <w:pPr>
        <w:spacing w:line="580" w:lineRule="exact"/>
        <w:ind w:firstLine="640" w:firstLineChars="200"/>
        <w:rPr>
          <w:rFonts w:ascii="仿宋_GB2312" w:eastAsia="仿宋_GB2312"/>
          <w:sz w:val="32"/>
          <w:szCs w:val="32"/>
        </w:rPr>
      </w:pPr>
      <w:r>
        <w:rPr>
          <w:rFonts w:hint="eastAsia" w:ascii="仿宋_GB2312" w:hAnsi="仿宋_GB2312" w:eastAsia="仿宋_GB2312"/>
          <w:sz w:val="32"/>
        </w:rPr>
        <w:t>维持被申请人深圳市社会保险基金管理局</w:t>
      </w:r>
      <w:r>
        <w:rPr>
          <w:rFonts w:hint="eastAsia" w:ascii="仿宋_GB2312" w:hAnsi="仿宋_GB2312" w:eastAsia="仿宋_GB2312" w:cs="仿宋_GB2312"/>
          <w:sz w:val="32"/>
          <w:szCs w:val="32"/>
        </w:rPr>
        <w:t>以深社保职养金核决字〔2024〕××号《深圳市企业职工养老保险养老金核准决定书》作出的行政行为</w:t>
      </w:r>
      <w:r>
        <w:rPr>
          <w:rFonts w:hint="eastAsia" w:ascii="仿宋_GB2312" w:hAnsi="仿宋_GB2312" w:eastAsia="仿宋_GB2312"/>
          <w:sz w:val="32"/>
        </w:rPr>
        <w:t>。</w:t>
      </w:r>
    </w:p>
    <w:p w14:paraId="41566772">
      <w:pPr>
        <w:spacing w:line="580" w:lineRule="exact"/>
        <w:ind w:firstLine="640" w:firstLineChars="200"/>
        <w:rPr>
          <w:lang w:eastAsia="ar-SA"/>
        </w:rPr>
      </w:pPr>
      <w:r>
        <w:rPr>
          <w:rFonts w:hint="eastAsia" w:ascii="仿宋_GB2312" w:hAnsi="仿宋_GB2312" w:eastAsia="仿宋_GB2312"/>
          <w:sz w:val="32"/>
        </w:rPr>
        <w:t>本复议决定书一经送达，即发生法律效力。申请人如对本复议决定不服，可自收到本复议决定书之日起十五日内</w:t>
      </w:r>
      <w:r>
        <w:rPr>
          <w:rFonts w:hint="eastAsia" w:ascii="仿宋_GB2312" w:hAnsi="仿宋_GB2312" w:eastAsia="仿宋_GB2312"/>
          <w:sz w:val="32"/>
          <w:lang w:eastAsia="zh-Hans"/>
        </w:rPr>
        <w:t>依法</w:t>
      </w:r>
      <w:r>
        <w:rPr>
          <w:rFonts w:hint="eastAsia" w:ascii="仿宋_GB2312" w:hAnsi="仿宋_GB2312" w:eastAsia="仿宋_GB2312"/>
          <w:sz w:val="32"/>
        </w:rPr>
        <w:t>向有管辖权的人民法院提起诉讼。</w:t>
      </w:r>
    </w:p>
    <w:p w14:paraId="2ACB4D5E">
      <w:pPr>
        <w:spacing w:line="580" w:lineRule="exact"/>
        <w:ind w:firstLine="5760" w:firstLineChars="1800"/>
        <w:rPr>
          <w:rFonts w:ascii="仿宋_GB2312" w:eastAsia="仿宋_GB2312"/>
          <w:sz w:val="32"/>
          <w:szCs w:val="32"/>
        </w:rPr>
      </w:pPr>
    </w:p>
    <w:p w14:paraId="5463D787">
      <w:pPr>
        <w:spacing w:line="580" w:lineRule="exact"/>
        <w:ind w:firstLine="5760" w:firstLineChars="1800"/>
        <w:rPr>
          <w:rFonts w:ascii="仿宋_GB2312" w:eastAsia="仿宋_GB2312"/>
          <w:sz w:val="32"/>
          <w:szCs w:val="32"/>
        </w:rPr>
      </w:pPr>
      <w:r>
        <w:rPr>
          <w:rFonts w:ascii="仿宋_GB2312" w:eastAsia="仿宋_GB2312"/>
          <w:sz w:val="32"/>
          <w:szCs w:val="32"/>
        </w:rPr>
        <w:t>深圳市人民政府</w:t>
      </w:r>
    </w:p>
    <w:p w14:paraId="155041B8">
      <w:pPr>
        <w:spacing w:line="580" w:lineRule="exact"/>
        <w:ind w:firstLine="640" w:firstLineChars="200"/>
        <w:rPr>
          <w:rFonts w:ascii="仿宋_GB2312" w:eastAsia="仿宋_GB2312"/>
          <w:sz w:val="32"/>
          <w:szCs w:val="32"/>
          <w:lang w:eastAsia="zh-Hans"/>
        </w:rPr>
      </w:pPr>
      <w:r>
        <w:rPr>
          <w:rFonts w:hint="eastAsia" w:ascii="仿宋_GB2312" w:eastAsia="仿宋_GB2312"/>
          <w:sz w:val="32"/>
          <w:szCs w:val="32"/>
        </w:rPr>
        <w:t xml:space="preserve">                         </w:t>
      </w:r>
      <w:r>
        <w:rPr>
          <w:rFonts w:ascii="仿宋_GB2312" w:eastAsia="仿宋_GB2312"/>
          <w:sz w:val="32"/>
          <w:szCs w:val="32"/>
        </w:rPr>
        <w:t xml:space="preserve"> </w:t>
      </w:r>
      <w:r>
        <w:rPr>
          <w:rFonts w:hint="eastAsia" w:ascii="仿宋_GB2312" w:eastAsia="仿宋_GB2312"/>
          <w:sz w:val="32"/>
          <w:szCs w:val="32"/>
        </w:rPr>
        <w:t xml:space="preserve">      202</w:t>
      </w:r>
      <w:r>
        <w:rPr>
          <w:rFonts w:ascii="仿宋_GB2312" w:eastAsia="仿宋_GB2312"/>
          <w:sz w:val="32"/>
          <w:szCs w:val="32"/>
        </w:rPr>
        <w:t>4年5月</w:t>
      </w:r>
      <w:r>
        <w:rPr>
          <w:rFonts w:ascii="仿宋_GB2312" w:eastAsia="仿宋_GB2312"/>
          <w:sz w:val="32"/>
          <w:szCs w:val="32"/>
          <w:lang w:val="en"/>
        </w:rPr>
        <w:t>22</w:t>
      </w:r>
      <w:r>
        <w:rPr>
          <w:rFonts w:ascii="仿宋_GB2312" w:eastAsia="仿宋_GB2312"/>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小标宋简体">
    <w:altName w:val="汉仪书宋二KW"/>
    <w:panose1 w:val="00000000000000000000"/>
    <w:charset w:val="86"/>
    <w:family w:val="auto"/>
    <w:pitch w:val="default"/>
    <w:sig w:usb0="00000000" w:usb1="00000000" w:usb2="00000000" w:usb3="00000000" w:csb0="00040000" w:csb1="00000000"/>
  </w:font>
  <w:font w:name="仿宋_GB2312">
    <w:altName w:val="方正仿宋_GBK"/>
    <w:panose1 w:val="02010609030101010101"/>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7A4BA">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0712F6">
                          <w:pPr>
                            <w:pStyle w:val="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10712F6">
                    <w:pPr>
                      <w:pStyle w:val="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Y2YmEyNTkwMTc3NTEzZDA5YWU3ZWNjYjNkNGZjM2MifQ=="/>
  </w:docVars>
  <w:rsids>
    <w:rsidRoot w:val="BCFF0D20"/>
    <w:rsid w:val="00005576"/>
    <w:rsid w:val="00007442"/>
    <w:rsid w:val="00021BC3"/>
    <w:rsid w:val="000254FB"/>
    <w:rsid w:val="00096317"/>
    <w:rsid w:val="000A2CC5"/>
    <w:rsid w:val="000A2F33"/>
    <w:rsid w:val="000A5575"/>
    <w:rsid w:val="000A61BD"/>
    <w:rsid w:val="000C0A19"/>
    <w:rsid w:val="000C107C"/>
    <w:rsid w:val="00111E35"/>
    <w:rsid w:val="00122221"/>
    <w:rsid w:val="00135BFC"/>
    <w:rsid w:val="00142BC7"/>
    <w:rsid w:val="00151D28"/>
    <w:rsid w:val="001573DC"/>
    <w:rsid w:val="00171510"/>
    <w:rsid w:val="00172DFC"/>
    <w:rsid w:val="00186564"/>
    <w:rsid w:val="0019607C"/>
    <w:rsid w:val="001B0CF3"/>
    <w:rsid w:val="001B21ED"/>
    <w:rsid w:val="001C0D33"/>
    <w:rsid w:val="001D12A5"/>
    <w:rsid w:val="00230300"/>
    <w:rsid w:val="00237367"/>
    <w:rsid w:val="00257AD9"/>
    <w:rsid w:val="00285B8B"/>
    <w:rsid w:val="0029636F"/>
    <w:rsid w:val="002A6F9D"/>
    <w:rsid w:val="002B0A5A"/>
    <w:rsid w:val="002C14A8"/>
    <w:rsid w:val="002D31AD"/>
    <w:rsid w:val="002E40C9"/>
    <w:rsid w:val="002E53C0"/>
    <w:rsid w:val="002E65BA"/>
    <w:rsid w:val="00301872"/>
    <w:rsid w:val="00303D65"/>
    <w:rsid w:val="0032157C"/>
    <w:rsid w:val="003523BE"/>
    <w:rsid w:val="0036143A"/>
    <w:rsid w:val="00380846"/>
    <w:rsid w:val="003A25CA"/>
    <w:rsid w:val="003A6BE2"/>
    <w:rsid w:val="003A76DA"/>
    <w:rsid w:val="003C6C67"/>
    <w:rsid w:val="003E4374"/>
    <w:rsid w:val="003F5396"/>
    <w:rsid w:val="00404395"/>
    <w:rsid w:val="00410223"/>
    <w:rsid w:val="00410C73"/>
    <w:rsid w:val="00442023"/>
    <w:rsid w:val="00444F51"/>
    <w:rsid w:val="00464D59"/>
    <w:rsid w:val="00465533"/>
    <w:rsid w:val="004778F6"/>
    <w:rsid w:val="00481A0B"/>
    <w:rsid w:val="004A4A6B"/>
    <w:rsid w:val="004C6C86"/>
    <w:rsid w:val="004C6D3A"/>
    <w:rsid w:val="004D1D1A"/>
    <w:rsid w:val="004D1EB8"/>
    <w:rsid w:val="00500F98"/>
    <w:rsid w:val="00502BD0"/>
    <w:rsid w:val="005117AA"/>
    <w:rsid w:val="0051559D"/>
    <w:rsid w:val="00530476"/>
    <w:rsid w:val="005410FC"/>
    <w:rsid w:val="00567DB6"/>
    <w:rsid w:val="00576792"/>
    <w:rsid w:val="00597AC1"/>
    <w:rsid w:val="005B3469"/>
    <w:rsid w:val="005C1FDF"/>
    <w:rsid w:val="005F0370"/>
    <w:rsid w:val="005F31B4"/>
    <w:rsid w:val="005F3E74"/>
    <w:rsid w:val="00630ADC"/>
    <w:rsid w:val="00643019"/>
    <w:rsid w:val="006665D2"/>
    <w:rsid w:val="00672CBE"/>
    <w:rsid w:val="006749CA"/>
    <w:rsid w:val="006B670A"/>
    <w:rsid w:val="006D09DD"/>
    <w:rsid w:val="006F3653"/>
    <w:rsid w:val="006F70C8"/>
    <w:rsid w:val="00744269"/>
    <w:rsid w:val="00745C55"/>
    <w:rsid w:val="007714A6"/>
    <w:rsid w:val="00773C1F"/>
    <w:rsid w:val="00776BB8"/>
    <w:rsid w:val="00782AEF"/>
    <w:rsid w:val="007879B8"/>
    <w:rsid w:val="007A60CA"/>
    <w:rsid w:val="007C331E"/>
    <w:rsid w:val="007C5673"/>
    <w:rsid w:val="007D1280"/>
    <w:rsid w:val="007D6A1E"/>
    <w:rsid w:val="007E6CAB"/>
    <w:rsid w:val="0080596D"/>
    <w:rsid w:val="008061B4"/>
    <w:rsid w:val="0084386C"/>
    <w:rsid w:val="00853306"/>
    <w:rsid w:val="008629EF"/>
    <w:rsid w:val="00882742"/>
    <w:rsid w:val="00884CE3"/>
    <w:rsid w:val="008857F9"/>
    <w:rsid w:val="0089575C"/>
    <w:rsid w:val="008A22B3"/>
    <w:rsid w:val="008A573F"/>
    <w:rsid w:val="008C008B"/>
    <w:rsid w:val="008C0683"/>
    <w:rsid w:val="008E2605"/>
    <w:rsid w:val="008F16AB"/>
    <w:rsid w:val="008F3F63"/>
    <w:rsid w:val="009033DE"/>
    <w:rsid w:val="00940857"/>
    <w:rsid w:val="00950AA4"/>
    <w:rsid w:val="0097255F"/>
    <w:rsid w:val="00976A33"/>
    <w:rsid w:val="00983AE1"/>
    <w:rsid w:val="00996D60"/>
    <w:rsid w:val="00996EF2"/>
    <w:rsid w:val="009B0BDA"/>
    <w:rsid w:val="009C41EF"/>
    <w:rsid w:val="009E4755"/>
    <w:rsid w:val="009F2AFF"/>
    <w:rsid w:val="00A1530E"/>
    <w:rsid w:val="00A15CAC"/>
    <w:rsid w:val="00A42451"/>
    <w:rsid w:val="00A71983"/>
    <w:rsid w:val="00AD255D"/>
    <w:rsid w:val="00AF7AAB"/>
    <w:rsid w:val="00B855D5"/>
    <w:rsid w:val="00B95D3B"/>
    <w:rsid w:val="00BB6F2B"/>
    <w:rsid w:val="00BF2D3A"/>
    <w:rsid w:val="00BF5CC8"/>
    <w:rsid w:val="00BF73CF"/>
    <w:rsid w:val="00BF78CC"/>
    <w:rsid w:val="00BF7B01"/>
    <w:rsid w:val="00C00A3C"/>
    <w:rsid w:val="00C04B3F"/>
    <w:rsid w:val="00C24197"/>
    <w:rsid w:val="00C7191F"/>
    <w:rsid w:val="00C74AEB"/>
    <w:rsid w:val="00C76108"/>
    <w:rsid w:val="00CA0A77"/>
    <w:rsid w:val="00CA793C"/>
    <w:rsid w:val="00CB3661"/>
    <w:rsid w:val="00CF1923"/>
    <w:rsid w:val="00D217EB"/>
    <w:rsid w:val="00D474D8"/>
    <w:rsid w:val="00D77E32"/>
    <w:rsid w:val="00D81CD5"/>
    <w:rsid w:val="00D83728"/>
    <w:rsid w:val="00DA399E"/>
    <w:rsid w:val="00DB7831"/>
    <w:rsid w:val="00DC0316"/>
    <w:rsid w:val="00DF4501"/>
    <w:rsid w:val="00E05777"/>
    <w:rsid w:val="00E07F5B"/>
    <w:rsid w:val="00E335CA"/>
    <w:rsid w:val="00E438C1"/>
    <w:rsid w:val="00E67F41"/>
    <w:rsid w:val="00E74313"/>
    <w:rsid w:val="00E83C1E"/>
    <w:rsid w:val="00E85E37"/>
    <w:rsid w:val="00E9401B"/>
    <w:rsid w:val="00EB7849"/>
    <w:rsid w:val="00ED16E2"/>
    <w:rsid w:val="00ED1FE9"/>
    <w:rsid w:val="00ED6A95"/>
    <w:rsid w:val="00ED7BA1"/>
    <w:rsid w:val="00F01183"/>
    <w:rsid w:val="00F06AF5"/>
    <w:rsid w:val="00F3693A"/>
    <w:rsid w:val="00F6412B"/>
    <w:rsid w:val="00F669BC"/>
    <w:rsid w:val="00F878D3"/>
    <w:rsid w:val="00F94FA0"/>
    <w:rsid w:val="00FA0ECE"/>
    <w:rsid w:val="00FB295A"/>
    <w:rsid w:val="00FF0A51"/>
    <w:rsid w:val="00FF0A82"/>
    <w:rsid w:val="00FF6284"/>
    <w:rsid w:val="00FF62BC"/>
    <w:rsid w:val="0ADD03DD"/>
    <w:rsid w:val="0B9FC807"/>
    <w:rsid w:val="0BE52294"/>
    <w:rsid w:val="0E1E1A6C"/>
    <w:rsid w:val="0FA7A3CF"/>
    <w:rsid w:val="16BE7D3B"/>
    <w:rsid w:val="17C6A339"/>
    <w:rsid w:val="19CF9E71"/>
    <w:rsid w:val="1C6F8E68"/>
    <w:rsid w:val="1CF7816B"/>
    <w:rsid w:val="1D9F0819"/>
    <w:rsid w:val="1DB5969C"/>
    <w:rsid w:val="1DDF233C"/>
    <w:rsid w:val="1DEF5E00"/>
    <w:rsid w:val="1F6CFD50"/>
    <w:rsid w:val="1FFB89A5"/>
    <w:rsid w:val="21EF1C9C"/>
    <w:rsid w:val="22EF13E9"/>
    <w:rsid w:val="23FD781B"/>
    <w:rsid w:val="27BA319A"/>
    <w:rsid w:val="27E95B5E"/>
    <w:rsid w:val="29710A9B"/>
    <w:rsid w:val="2B7DAF71"/>
    <w:rsid w:val="2D5F764B"/>
    <w:rsid w:val="2DF1FB8F"/>
    <w:rsid w:val="2DF73FBA"/>
    <w:rsid w:val="2DFDC845"/>
    <w:rsid w:val="2E311BA2"/>
    <w:rsid w:val="2FDFA4A6"/>
    <w:rsid w:val="2FE3A46C"/>
    <w:rsid w:val="2FFFF47C"/>
    <w:rsid w:val="33DB5F75"/>
    <w:rsid w:val="35A6A54F"/>
    <w:rsid w:val="35DF0BA8"/>
    <w:rsid w:val="365DBB48"/>
    <w:rsid w:val="36FDB7D1"/>
    <w:rsid w:val="37F76D08"/>
    <w:rsid w:val="37FF4383"/>
    <w:rsid w:val="397F49BE"/>
    <w:rsid w:val="39F39A40"/>
    <w:rsid w:val="3A73CB8B"/>
    <w:rsid w:val="3A9F013D"/>
    <w:rsid w:val="3AB9F7A4"/>
    <w:rsid w:val="3AF7C1C0"/>
    <w:rsid w:val="3B4D4C55"/>
    <w:rsid w:val="3DDD7C19"/>
    <w:rsid w:val="3DFF9F63"/>
    <w:rsid w:val="3DFFD04F"/>
    <w:rsid w:val="3EAEDAB9"/>
    <w:rsid w:val="3EEF48F9"/>
    <w:rsid w:val="3EF74BB3"/>
    <w:rsid w:val="3F5CA46C"/>
    <w:rsid w:val="3F8797D0"/>
    <w:rsid w:val="3FBD3212"/>
    <w:rsid w:val="3FBF656E"/>
    <w:rsid w:val="3FDF3888"/>
    <w:rsid w:val="3FEAB45C"/>
    <w:rsid w:val="3FF5357D"/>
    <w:rsid w:val="3FF76E4F"/>
    <w:rsid w:val="3FFB1E0F"/>
    <w:rsid w:val="45DFB5E2"/>
    <w:rsid w:val="46FF65FF"/>
    <w:rsid w:val="497DA32A"/>
    <w:rsid w:val="49F7335D"/>
    <w:rsid w:val="4AFF51CB"/>
    <w:rsid w:val="4B6EEC85"/>
    <w:rsid w:val="4E3F8B91"/>
    <w:rsid w:val="4F7F7D44"/>
    <w:rsid w:val="4F9FE709"/>
    <w:rsid w:val="4FBE1D92"/>
    <w:rsid w:val="4FBE8F71"/>
    <w:rsid w:val="4FF5AE09"/>
    <w:rsid w:val="4FF79E4A"/>
    <w:rsid w:val="4FFBDCE8"/>
    <w:rsid w:val="52FA7664"/>
    <w:rsid w:val="531FDE24"/>
    <w:rsid w:val="53BFB8BD"/>
    <w:rsid w:val="54FB7DFA"/>
    <w:rsid w:val="56BFDA40"/>
    <w:rsid w:val="56FB2FDB"/>
    <w:rsid w:val="575B8784"/>
    <w:rsid w:val="5797006F"/>
    <w:rsid w:val="57FDFE1E"/>
    <w:rsid w:val="57FE62DB"/>
    <w:rsid w:val="5A96F542"/>
    <w:rsid w:val="5AFB8273"/>
    <w:rsid w:val="5AFDE44A"/>
    <w:rsid w:val="5B7F90FC"/>
    <w:rsid w:val="5BE42A7C"/>
    <w:rsid w:val="5BF48DAF"/>
    <w:rsid w:val="5BF77BF2"/>
    <w:rsid w:val="5BFA25C0"/>
    <w:rsid w:val="5BFA9A6F"/>
    <w:rsid w:val="5BFD88D7"/>
    <w:rsid w:val="5BFDDAD5"/>
    <w:rsid w:val="5BFE7643"/>
    <w:rsid w:val="5CFEE111"/>
    <w:rsid w:val="5D4FE015"/>
    <w:rsid w:val="5D57FC00"/>
    <w:rsid w:val="5DDF4E4B"/>
    <w:rsid w:val="5E3981C0"/>
    <w:rsid w:val="5EF769D1"/>
    <w:rsid w:val="5F1D847D"/>
    <w:rsid w:val="5F4BFFCE"/>
    <w:rsid w:val="5F7D6A6D"/>
    <w:rsid w:val="5FCF3562"/>
    <w:rsid w:val="5FEFA6A3"/>
    <w:rsid w:val="5FF9081C"/>
    <w:rsid w:val="5FFABF04"/>
    <w:rsid w:val="5FFBAA51"/>
    <w:rsid w:val="5FFBFC9C"/>
    <w:rsid w:val="5FFFC01B"/>
    <w:rsid w:val="60FD58ED"/>
    <w:rsid w:val="6194DFB3"/>
    <w:rsid w:val="61DF5C72"/>
    <w:rsid w:val="61FF985E"/>
    <w:rsid w:val="637F8E5A"/>
    <w:rsid w:val="65FB046E"/>
    <w:rsid w:val="6637638F"/>
    <w:rsid w:val="67DE8613"/>
    <w:rsid w:val="67F9AC1B"/>
    <w:rsid w:val="67FC9F9F"/>
    <w:rsid w:val="69CF15C9"/>
    <w:rsid w:val="69DF0138"/>
    <w:rsid w:val="6ABE7578"/>
    <w:rsid w:val="6B9393F2"/>
    <w:rsid w:val="6B9D42E9"/>
    <w:rsid w:val="6BF64770"/>
    <w:rsid w:val="6BF77068"/>
    <w:rsid w:val="6D37712A"/>
    <w:rsid w:val="6D6B8FD4"/>
    <w:rsid w:val="6D7EE6F1"/>
    <w:rsid w:val="6DD76B9A"/>
    <w:rsid w:val="6DEF83A2"/>
    <w:rsid w:val="6DF9C4F7"/>
    <w:rsid w:val="6EBE76EA"/>
    <w:rsid w:val="6EFBCE24"/>
    <w:rsid w:val="6EFED278"/>
    <w:rsid w:val="6F5772A7"/>
    <w:rsid w:val="6FAF656B"/>
    <w:rsid w:val="6FDB66D2"/>
    <w:rsid w:val="6FDDB568"/>
    <w:rsid w:val="6FEB0E49"/>
    <w:rsid w:val="6FF706A9"/>
    <w:rsid w:val="6FFA0CFB"/>
    <w:rsid w:val="6FFFD220"/>
    <w:rsid w:val="6FFFE74E"/>
    <w:rsid w:val="717DBF21"/>
    <w:rsid w:val="71FF5424"/>
    <w:rsid w:val="72DBB57B"/>
    <w:rsid w:val="733EA2C7"/>
    <w:rsid w:val="73DF91E0"/>
    <w:rsid w:val="74EF59B9"/>
    <w:rsid w:val="7541B3B9"/>
    <w:rsid w:val="754B6388"/>
    <w:rsid w:val="75D7A390"/>
    <w:rsid w:val="75DFCC79"/>
    <w:rsid w:val="75E73F7A"/>
    <w:rsid w:val="75F962E6"/>
    <w:rsid w:val="75FF5E49"/>
    <w:rsid w:val="75FFC965"/>
    <w:rsid w:val="75FFF2F0"/>
    <w:rsid w:val="76A4AAD2"/>
    <w:rsid w:val="76BF24EA"/>
    <w:rsid w:val="76BF8AB3"/>
    <w:rsid w:val="76BF8BE0"/>
    <w:rsid w:val="76DFA99A"/>
    <w:rsid w:val="76F26B9F"/>
    <w:rsid w:val="76F2E6AD"/>
    <w:rsid w:val="76FFF3EC"/>
    <w:rsid w:val="77370C79"/>
    <w:rsid w:val="77731F7D"/>
    <w:rsid w:val="777F7B28"/>
    <w:rsid w:val="77B79900"/>
    <w:rsid w:val="77BEC702"/>
    <w:rsid w:val="77BF6760"/>
    <w:rsid w:val="77D6CC06"/>
    <w:rsid w:val="77EFA2D8"/>
    <w:rsid w:val="77F7862A"/>
    <w:rsid w:val="77FFEB88"/>
    <w:rsid w:val="793F3A1C"/>
    <w:rsid w:val="7971804E"/>
    <w:rsid w:val="79EF3477"/>
    <w:rsid w:val="7AB1559F"/>
    <w:rsid w:val="7AE7F964"/>
    <w:rsid w:val="7AFF9190"/>
    <w:rsid w:val="7B35E0E8"/>
    <w:rsid w:val="7B3DC587"/>
    <w:rsid w:val="7B5E1518"/>
    <w:rsid w:val="7BCF5A41"/>
    <w:rsid w:val="7BDFB5EE"/>
    <w:rsid w:val="7BEC89B4"/>
    <w:rsid w:val="7BF1F524"/>
    <w:rsid w:val="7BF78008"/>
    <w:rsid w:val="7BFB6B8D"/>
    <w:rsid w:val="7BFD2396"/>
    <w:rsid w:val="7BFE0274"/>
    <w:rsid w:val="7BFEAB97"/>
    <w:rsid w:val="7BFFFFEB"/>
    <w:rsid w:val="7CA26640"/>
    <w:rsid w:val="7CD34476"/>
    <w:rsid w:val="7CEEC5D0"/>
    <w:rsid w:val="7CFB7F9B"/>
    <w:rsid w:val="7CFFB341"/>
    <w:rsid w:val="7D27DB8C"/>
    <w:rsid w:val="7D675CB8"/>
    <w:rsid w:val="7D755C46"/>
    <w:rsid w:val="7D7AE5FC"/>
    <w:rsid w:val="7D9E39B8"/>
    <w:rsid w:val="7DB747B1"/>
    <w:rsid w:val="7DBF7314"/>
    <w:rsid w:val="7DBF769C"/>
    <w:rsid w:val="7DDEEB1F"/>
    <w:rsid w:val="7DEE4073"/>
    <w:rsid w:val="7DF9423F"/>
    <w:rsid w:val="7DFF381A"/>
    <w:rsid w:val="7E351D52"/>
    <w:rsid w:val="7E7A8E33"/>
    <w:rsid w:val="7E956E10"/>
    <w:rsid w:val="7E9D12D5"/>
    <w:rsid w:val="7EBF1854"/>
    <w:rsid w:val="7EC7A0BF"/>
    <w:rsid w:val="7ED5C6A4"/>
    <w:rsid w:val="7EDF4519"/>
    <w:rsid w:val="7EE72615"/>
    <w:rsid w:val="7EEFF437"/>
    <w:rsid w:val="7EFB3AE1"/>
    <w:rsid w:val="7EFE50D7"/>
    <w:rsid w:val="7F0727A9"/>
    <w:rsid w:val="7F1F29E4"/>
    <w:rsid w:val="7F291E61"/>
    <w:rsid w:val="7F39A404"/>
    <w:rsid w:val="7F3C7867"/>
    <w:rsid w:val="7F4B62AB"/>
    <w:rsid w:val="7F5E0B23"/>
    <w:rsid w:val="7F769435"/>
    <w:rsid w:val="7F76EA0C"/>
    <w:rsid w:val="7F7A85B9"/>
    <w:rsid w:val="7FAE241A"/>
    <w:rsid w:val="7FAEA9E1"/>
    <w:rsid w:val="7FB3EE33"/>
    <w:rsid w:val="7FB4251B"/>
    <w:rsid w:val="7FB7148F"/>
    <w:rsid w:val="7FB725B4"/>
    <w:rsid w:val="7FBB7CF4"/>
    <w:rsid w:val="7FCE0178"/>
    <w:rsid w:val="7FCEAFCA"/>
    <w:rsid w:val="7FD68CB4"/>
    <w:rsid w:val="7FD758FA"/>
    <w:rsid w:val="7FD969DF"/>
    <w:rsid w:val="7FDC327F"/>
    <w:rsid w:val="7FDDCFA0"/>
    <w:rsid w:val="7FDF7E2B"/>
    <w:rsid w:val="7FDF9025"/>
    <w:rsid w:val="7FE2B569"/>
    <w:rsid w:val="7FE427FD"/>
    <w:rsid w:val="7FE93F6C"/>
    <w:rsid w:val="7FEDDB80"/>
    <w:rsid w:val="7FF4C3B1"/>
    <w:rsid w:val="7FF8F8F7"/>
    <w:rsid w:val="7FFAF851"/>
    <w:rsid w:val="7FFB9178"/>
    <w:rsid w:val="7FFC6AB5"/>
    <w:rsid w:val="7FFD8512"/>
    <w:rsid w:val="7FFD9E55"/>
    <w:rsid w:val="7FFDE0A6"/>
    <w:rsid w:val="7FFE4BD1"/>
    <w:rsid w:val="7FFEA7C7"/>
    <w:rsid w:val="7FFEAA8A"/>
    <w:rsid w:val="7FFF2679"/>
    <w:rsid w:val="7FFF420E"/>
    <w:rsid w:val="7FFFB3C8"/>
    <w:rsid w:val="871DCDA1"/>
    <w:rsid w:val="8A4DFD0B"/>
    <w:rsid w:val="8BE3CC83"/>
    <w:rsid w:val="8ED7D99B"/>
    <w:rsid w:val="8FAD0364"/>
    <w:rsid w:val="8FBF6187"/>
    <w:rsid w:val="91473EB3"/>
    <w:rsid w:val="96AD5436"/>
    <w:rsid w:val="973FAA42"/>
    <w:rsid w:val="97BEB832"/>
    <w:rsid w:val="97E4AC40"/>
    <w:rsid w:val="9BAEAFB4"/>
    <w:rsid w:val="9D57D89A"/>
    <w:rsid w:val="9D7F5C1B"/>
    <w:rsid w:val="9DFF861F"/>
    <w:rsid w:val="9E9B9E84"/>
    <w:rsid w:val="9F3F0A11"/>
    <w:rsid w:val="9F79C811"/>
    <w:rsid w:val="9F7F8924"/>
    <w:rsid w:val="9FFF9C0E"/>
    <w:rsid w:val="A37E4D27"/>
    <w:rsid w:val="A775656D"/>
    <w:rsid w:val="A99E7B8E"/>
    <w:rsid w:val="A9D49A59"/>
    <w:rsid w:val="A9FD5832"/>
    <w:rsid w:val="AB5FAA0F"/>
    <w:rsid w:val="ABFB3F28"/>
    <w:rsid w:val="AD7F3523"/>
    <w:rsid w:val="AEABB462"/>
    <w:rsid w:val="AEBE7693"/>
    <w:rsid w:val="AECBFA4C"/>
    <w:rsid w:val="AFEF6E11"/>
    <w:rsid w:val="AFF1711B"/>
    <w:rsid w:val="AFFBF8E0"/>
    <w:rsid w:val="B3DCEE33"/>
    <w:rsid w:val="B5ACB8DF"/>
    <w:rsid w:val="B6376253"/>
    <w:rsid w:val="B6DE17CB"/>
    <w:rsid w:val="B7775278"/>
    <w:rsid w:val="B7BB74AB"/>
    <w:rsid w:val="B9FDCE09"/>
    <w:rsid w:val="BAFFC4F7"/>
    <w:rsid w:val="BB7FE84B"/>
    <w:rsid w:val="BBB70077"/>
    <w:rsid w:val="BBFD2FC7"/>
    <w:rsid w:val="BBFEB30E"/>
    <w:rsid w:val="BC7B5257"/>
    <w:rsid w:val="BCE5D71F"/>
    <w:rsid w:val="BCFF0D20"/>
    <w:rsid w:val="BD36DEDB"/>
    <w:rsid w:val="BD77C054"/>
    <w:rsid w:val="BDD9C738"/>
    <w:rsid w:val="BDF36ED9"/>
    <w:rsid w:val="BDF6F062"/>
    <w:rsid w:val="BEBFBA7C"/>
    <w:rsid w:val="BF35E9AD"/>
    <w:rsid w:val="BF73B27B"/>
    <w:rsid w:val="BF9F5CF3"/>
    <w:rsid w:val="BFBFACD8"/>
    <w:rsid w:val="BFD90C4C"/>
    <w:rsid w:val="BFEB89CC"/>
    <w:rsid w:val="BFF3699B"/>
    <w:rsid w:val="BFF7D6F6"/>
    <w:rsid w:val="BFFBD43C"/>
    <w:rsid w:val="C4FA6466"/>
    <w:rsid w:val="C6FF3987"/>
    <w:rsid w:val="C79F9017"/>
    <w:rsid w:val="CB5E6675"/>
    <w:rsid w:val="CE7D0E5A"/>
    <w:rsid w:val="CE7F4A6B"/>
    <w:rsid w:val="CF97A680"/>
    <w:rsid w:val="CFCACAF6"/>
    <w:rsid w:val="CFDFDD7F"/>
    <w:rsid w:val="CFFE2115"/>
    <w:rsid w:val="CFFF3C34"/>
    <w:rsid w:val="D4F73497"/>
    <w:rsid w:val="D4FD1C3F"/>
    <w:rsid w:val="D57F2D0B"/>
    <w:rsid w:val="D64D4FBA"/>
    <w:rsid w:val="D67D2EA2"/>
    <w:rsid w:val="D6F6F6F0"/>
    <w:rsid w:val="D766E00E"/>
    <w:rsid w:val="D7E50344"/>
    <w:rsid w:val="D7FD1BBE"/>
    <w:rsid w:val="D7FE2149"/>
    <w:rsid w:val="D7FED1F6"/>
    <w:rsid w:val="DAEF09E9"/>
    <w:rsid w:val="DAFD254F"/>
    <w:rsid w:val="DB2A0A05"/>
    <w:rsid w:val="DB5D6BFF"/>
    <w:rsid w:val="DBBDE651"/>
    <w:rsid w:val="DBFE53BB"/>
    <w:rsid w:val="DC3FFA90"/>
    <w:rsid w:val="DCF9B27D"/>
    <w:rsid w:val="DD430A9F"/>
    <w:rsid w:val="DDE5EAEB"/>
    <w:rsid w:val="DDF5D6AA"/>
    <w:rsid w:val="DDFDD6F3"/>
    <w:rsid w:val="DE7E8649"/>
    <w:rsid w:val="DEF7C997"/>
    <w:rsid w:val="DF4D6818"/>
    <w:rsid w:val="DF663DA4"/>
    <w:rsid w:val="DFBFEC69"/>
    <w:rsid w:val="DFE5B8AD"/>
    <w:rsid w:val="DFEE4B14"/>
    <w:rsid w:val="DFEF8E70"/>
    <w:rsid w:val="DFF5328E"/>
    <w:rsid w:val="DFF7557A"/>
    <w:rsid w:val="DFFF04BD"/>
    <w:rsid w:val="DFFF4A0B"/>
    <w:rsid w:val="E2FB8810"/>
    <w:rsid w:val="E5FFC637"/>
    <w:rsid w:val="E7FF6D68"/>
    <w:rsid w:val="E9B61D02"/>
    <w:rsid w:val="EBEFBD26"/>
    <w:rsid w:val="EBEFDEAF"/>
    <w:rsid w:val="EBFF702E"/>
    <w:rsid w:val="EBFF9548"/>
    <w:rsid w:val="ED77AAB0"/>
    <w:rsid w:val="ED77AD10"/>
    <w:rsid w:val="ED8D7FFD"/>
    <w:rsid w:val="EDB3367E"/>
    <w:rsid w:val="EDBD2BCA"/>
    <w:rsid w:val="EDBF0845"/>
    <w:rsid w:val="EDDF3BA4"/>
    <w:rsid w:val="EE77E4DF"/>
    <w:rsid w:val="EE7E69EE"/>
    <w:rsid w:val="EEE6BF43"/>
    <w:rsid w:val="EEFB5502"/>
    <w:rsid w:val="EF363159"/>
    <w:rsid w:val="EF433661"/>
    <w:rsid w:val="EF5E3EA1"/>
    <w:rsid w:val="EF73AAA7"/>
    <w:rsid w:val="EFB209BF"/>
    <w:rsid w:val="EFBB8DE1"/>
    <w:rsid w:val="EFBF01A9"/>
    <w:rsid w:val="EFF458B3"/>
    <w:rsid w:val="EFF4C3FA"/>
    <w:rsid w:val="EFF600FC"/>
    <w:rsid w:val="EFFBAACE"/>
    <w:rsid w:val="EFFEE0F7"/>
    <w:rsid w:val="EFFFE6D9"/>
    <w:rsid w:val="F0CDBA06"/>
    <w:rsid w:val="F2B6DBBE"/>
    <w:rsid w:val="F3EBAF97"/>
    <w:rsid w:val="F4F7EAF8"/>
    <w:rsid w:val="F4FD0A75"/>
    <w:rsid w:val="F52B4428"/>
    <w:rsid w:val="F53F60E5"/>
    <w:rsid w:val="F5DDCCC5"/>
    <w:rsid w:val="F5EF4A39"/>
    <w:rsid w:val="F5FEE5C8"/>
    <w:rsid w:val="F63F7738"/>
    <w:rsid w:val="F6FBAC09"/>
    <w:rsid w:val="F6FBEE95"/>
    <w:rsid w:val="F73F23CD"/>
    <w:rsid w:val="F75559D8"/>
    <w:rsid w:val="F7CEA357"/>
    <w:rsid w:val="F7CEA363"/>
    <w:rsid w:val="F7D7B457"/>
    <w:rsid w:val="F7D8DF36"/>
    <w:rsid w:val="F7D9348A"/>
    <w:rsid w:val="F7DADE1B"/>
    <w:rsid w:val="F7DB5515"/>
    <w:rsid w:val="F7EC323F"/>
    <w:rsid w:val="F7EDD83B"/>
    <w:rsid w:val="F7FD0BDC"/>
    <w:rsid w:val="F7FDF75F"/>
    <w:rsid w:val="F857E5FD"/>
    <w:rsid w:val="F8CFA726"/>
    <w:rsid w:val="F8DA63A3"/>
    <w:rsid w:val="F8E4C2B7"/>
    <w:rsid w:val="F98F0229"/>
    <w:rsid w:val="F9DB5451"/>
    <w:rsid w:val="F9DF0EF1"/>
    <w:rsid w:val="F9F7C372"/>
    <w:rsid w:val="FABB6402"/>
    <w:rsid w:val="FAE45B49"/>
    <w:rsid w:val="FAFF3F07"/>
    <w:rsid w:val="FAFFADB0"/>
    <w:rsid w:val="FB5BB74E"/>
    <w:rsid w:val="FB9BB420"/>
    <w:rsid w:val="FBB759EE"/>
    <w:rsid w:val="FBC72F0F"/>
    <w:rsid w:val="FBD7EDBE"/>
    <w:rsid w:val="FBDB7776"/>
    <w:rsid w:val="FBEB82D4"/>
    <w:rsid w:val="FBFF0669"/>
    <w:rsid w:val="FBFF8B41"/>
    <w:rsid w:val="FCB3A1E6"/>
    <w:rsid w:val="FCD7D499"/>
    <w:rsid w:val="FCDF4D67"/>
    <w:rsid w:val="FCF735DA"/>
    <w:rsid w:val="FD6836E7"/>
    <w:rsid w:val="FD9FE052"/>
    <w:rsid w:val="FDDF445F"/>
    <w:rsid w:val="FDE30BC1"/>
    <w:rsid w:val="FDEFB266"/>
    <w:rsid w:val="FDF845D8"/>
    <w:rsid w:val="FDFCF6C8"/>
    <w:rsid w:val="FDFDC542"/>
    <w:rsid w:val="FE3BA24D"/>
    <w:rsid w:val="FE720299"/>
    <w:rsid w:val="FE7862C0"/>
    <w:rsid w:val="FE7D8616"/>
    <w:rsid w:val="FE7E7103"/>
    <w:rsid w:val="FEA7F130"/>
    <w:rsid w:val="FEAB92D5"/>
    <w:rsid w:val="FEB3D436"/>
    <w:rsid w:val="FEBA01FF"/>
    <w:rsid w:val="FED677B3"/>
    <w:rsid w:val="FEDB2AF5"/>
    <w:rsid w:val="FEDF2C41"/>
    <w:rsid w:val="FEEFA63E"/>
    <w:rsid w:val="FEFD811D"/>
    <w:rsid w:val="FEFFA35E"/>
    <w:rsid w:val="FEFFEAEB"/>
    <w:rsid w:val="FF2FE801"/>
    <w:rsid w:val="FF353091"/>
    <w:rsid w:val="FF3E2393"/>
    <w:rsid w:val="FF4CCA12"/>
    <w:rsid w:val="FF4D5BBA"/>
    <w:rsid w:val="FF5F2C1F"/>
    <w:rsid w:val="FF772251"/>
    <w:rsid w:val="FF8F6402"/>
    <w:rsid w:val="FF9BF8AB"/>
    <w:rsid w:val="FFA716BA"/>
    <w:rsid w:val="FFAB4BEB"/>
    <w:rsid w:val="FFADF378"/>
    <w:rsid w:val="FFAF68D4"/>
    <w:rsid w:val="FFAFBCDD"/>
    <w:rsid w:val="FFBB49BA"/>
    <w:rsid w:val="FFC5EE03"/>
    <w:rsid w:val="FFC70B01"/>
    <w:rsid w:val="FFD691A2"/>
    <w:rsid w:val="FFD72008"/>
    <w:rsid w:val="FFDD9578"/>
    <w:rsid w:val="FFEA8912"/>
    <w:rsid w:val="FFEB6C00"/>
    <w:rsid w:val="FFF32ADC"/>
    <w:rsid w:val="FFF58D02"/>
    <w:rsid w:val="FFF67DEA"/>
    <w:rsid w:val="FFF70C13"/>
    <w:rsid w:val="FFFD109E"/>
    <w:rsid w:val="FFFE0C56"/>
    <w:rsid w:val="FFFF3BCC"/>
    <w:rsid w:val="FFFF494A"/>
    <w:rsid w:val="FFFF93D5"/>
    <w:rsid w:val="FFFFA016"/>
    <w:rsid w:val="FFFFC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tLeast"/>
      <w:outlineLvl w:val="0"/>
    </w:pPr>
    <w:rPr>
      <w:b/>
      <w:bCs/>
      <w:kern w:val="44"/>
      <w:sz w:val="44"/>
      <w:szCs w:val="44"/>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6">
    <w:name w:val="Normal (Web)"/>
    <w:basedOn w:val="1"/>
    <w:qFormat/>
    <w:uiPriority w:val="0"/>
    <w:pPr>
      <w:spacing w:beforeAutospacing="1" w:afterAutospacing="1"/>
      <w:jc w:val="left"/>
    </w:pPr>
    <w:rPr>
      <w:kern w:val="0"/>
      <w:sz w:val="24"/>
    </w:rPr>
  </w:style>
  <w:style w:type="character" w:styleId="9">
    <w:name w:val="page number"/>
    <w:basedOn w:val="8"/>
    <w:qFormat/>
    <w:uiPriority w:val="0"/>
  </w:style>
  <w:style w:type="character" w:styleId="10">
    <w:name w:val="Hyperlink"/>
    <w:basedOn w:val="8"/>
    <w:qFormat/>
    <w:uiPriority w:val="0"/>
    <w:rPr>
      <w:color w:val="0000FF"/>
      <w:u w:val="single"/>
    </w:rPr>
  </w:style>
  <w:style w:type="paragraph" w:styleId="11">
    <w:name w:val="List Paragraph"/>
    <w:basedOn w:val="1"/>
    <w:unhideWhenUsed/>
    <w:qFormat/>
    <w:uiPriority w:val="99"/>
    <w:pPr>
      <w:ind w:firstLine="420" w:firstLineChars="200"/>
    </w:pPr>
  </w:style>
  <w:style w:type="paragraph" w:customStyle="1" w:styleId="12">
    <w:name w:val="Revision"/>
    <w:hidden/>
    <w:unhideWhenUsed/>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693</Words>
  <Characters>3955</Characters>
  <Lines>32</Lines>
  <Paragraphs>9</Paragraphs>
  <TotalTime>222</TotalTime>
  <ScaleCrop>false</ScaleCrop>
  <LinksUpToDate>false</LinksUpToDate>
  <CharactersWithSpaces>4639</CharactersWithSpaces>
  <Application>WPS Office_6.10.1.8873_F1E327BC-269C-435d-A152-05C5408002CA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2024-05-18T09:02:00Z</dcterms:created>
  <dc:creator>Melody</dc:creator>
  <cp:lastModifiedBy>Melody</cp:lastModifiedBy>
  <cp:lastPrinted>2024-05-22T18:39:00Z</cp:lastPrinted>
  <dcterms:modified xsi:type="dcterms:W3CDTF">2024-08-19T10:29:26Z</dcterms:modified>
  <dc:title>深  圳  市  人  民  政  府</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2052-6.10.1.8873</vt:lpwstr>
  </property>
  <property fmtid="{D5CDD505-2E9C-101B-9397-08002B2CF9AE}" pid="3" name="ICV">
    <vt:lpwstr>61E32361EA7FD3C1E0ADC266C515B80D_43</vt:lpwstr>
  </property>
</Properties>
</file>