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760" w:firstLineChars="400"/>
        <w:rPr>
          <w:rFonts w:ascii="宋体" w:hAnsi="宋体" w:eastAsia="宋体"/>
          <w:sz w:val="44"/>
        </w:rPr>
      </w:pPr>
      <w:r>
        <w:rPr>
          <w:rFonts w:hint="eastAsia" w:ascii="宋体" w:hAnsi="宋体" w:eastAsia="宋体"/>
          <w:sz w:val="44"/>
        </w:rPr>
        <w:t>深  圳  市  人  民  政  府</w:t>
      </w:r>
    </w:p>
    <w:p>
      <w:pPr>
        <w:spacing w:line="560" w:lineRule="exact"/>
        <w:ind w:firstLine="3092" w:firstLineChars="700"/>
        <w:rPr>
          <w:rFonts w:asciiTheme="minorEastAsia" w:hAnsiTheme="minorEastAsia" w:eastAsiaTheme="minorEastAsia"/>
          <w:b/>
          <w:bCs/>
          <w:sz w:val="44"/>
        </w:rPr>
      </w:pPr>
      <w:r>
        <w:rPr>
          <w:rFonts w:hint="eastAsia" w:asciiTheme="minorEastAsia" w:hAnsiTheme="minorEastAsia" w:eastAsiaTheme="minorEastAsia"/>
          <w:b/>
          <w:bCs/>
          <w:sz w:val="44"/>
        </w:rPr>
        <w:t xml:space="preserve">行政复议决定书  </w:t>
      </w:r>
    </w:p>
    <w:p>
      <w:pPr>
        <w:wordWrap w:val="0"/>
        <w:spacing w:line="560" w:lineRule="exact"/>
        <w:ind w:firstLine="640"/>
        <w:jc w:val="right"/>
      </w:pPr>
      <w:r>
        <w:rPr>
          <w:rFonts w:hint="eastAsia"/>
        </w:rPr>
        <w:t xml:space="preserve">          深府行复〔202</w:t>
      </w:r>
      <w:r>
        <w:t>4</w:t>
      </w:r>
      <w:r>
        <w:rPr>
          <w:rFonts w:hint="eastAsia"/>
        </w:rPr>
        <w:t>〕</w:t>
      </w:r>
      <w:r>
        <w:rPr>
          <w:rFonts w:hint="default"/>
          <w:lang w:val="en"/>
        </w:rPr>
        <w:t>1399</w:t>
      </w:r>
      <w:bookmarkStart w:id="0" w:name="_GoBack"/>
      <w:bookmarkEnd w:id="0"/>
      <w:r>
        <w:rPr>
          <w:rFonts w:hint="eastAsia"/>
        </w:rPr>
        <w:t>号</w:t>
      </w:r>
      <w:r>
        <w:rPr>
          <w:rFonts w:hint="eastAsia"/>
        </w:rPr>
        <w:tab/>
      </w:r>
    </w:p>
    <w:p>
      <w:pPr>
        <w:spacing w:line="560" w:lineRule="exact"/>
        <w:ind w:firstLine="640"/>
      </w:pPr>
      <w:r>
        <w:rPr>
          <w:rFonts w:hint="eastAsia"/>
        </w:rPr>
        <w:tab/>
      </w:r>
      <w:r>
        <w:rPr>
          <w:rFonts w:hint="eastAsia"/>
        </w:rPr>
        <w:tab/>
      </w:r>
    </w:p>
    <w:p>
      <w:pPr>
        <w:spacing w:line="560" w:lineRule="exact"/>
        <w:ind w:firstLine="640"/>
      </w:pPr>
      <w:r>
        <w:rPr>
          <w:rFonts w:hint="eastAsia" w:ascii="黑体" w:hAnsi="黑体" w:eastAsia="黑体" w:cs="黑体"/>
        </w:rPr>
        <w:t>申请人</w:t>
      </w:r>
      <w:r>
        <w:rPr>
          <w:rFonts w:hint="eastAsia" w:hAnsi="黑体" w:cs="黑体"/>
        </w:rPr>
        <w:t>：</w:t>
      </w:r>
      <w:r>
        <w:rPr>
          <w:rFonts w:hAnsi="黑体" w:cs="黑体"/>
        </w:rPr>
        <w:t>何</w:t>
      </w:r>
      <w:r>
        <w:rPr>
          <w:rFonts w:hint="eastAsia" w:hAnsi="黑体" w:cs="黑体"/>
        </w:rPr>
        <w:t>某</w:t>
      </w:r>
    </w:p>
    <w:p>
      <w:pPr>
        <w:spacing w:line="560" w:lineRule="exact"/>
        <w:ind w:firstLine="640"/>
      </w:pPr>
      <w:r>
        <w:rPr>
          <w:rFonts w:hint="eastAsia" w:ascii="黑体" w:hAnsi="黑体" w:eastAsia="黑体" w:cs="黑体"/>
        </w:rPr>
        <w:t>被申请人</w:t>
      </w:r>
      <w:r>
        <w:rPr>
          <w:rFonts w:hint="eastAsia"/>
        </w:rPr>
        <w:t>：深圳市公安局交通警察支队光明大队</w:t>
      </w:r>
    </w:p>
    <w:p>
      <w:pPr>
        <w:spacing w:line="560" w:lineRule="exact"/>
        <w:ind w:firstLine="640"/>
      </w:pPr>
      <w:r>
        <w:rPr>
          <w:rFonts w:hint="eastAsia"/>
        </w:rPr>
        <w:t>地址：深圳市光明区玉塘街道田湾路105号</w:t>
      </w:r>
    </w:p>
    <w:p>
      <w:pPr>
        <w:spacing w:line="560" w:lineRule="exact"/>
        <w:ind w:firstLine="640"/>
      </w:pPr>
      <w:r>
        <w:rPr>
          <w:rFonts w:hint="eastAsia"/>
        </w:rPr>
        <w:t>法定代表人：孙毅清，大队长</w:t>
      </w:r>
    </w:p>
    <w:p>
      <w:pPr>
        <w:wordWrap w:val="0"/>
        <w:spacing w:line="560" w:lineRule="exact"/>
        <w:ind w:firstLine="640"/>
      </w:pPr>
    </w:p>
    <w:p>
      <w:pPr>
        <w:wordWrap w:val="0"/>
        <w:spacing w:line="560" w:lineRule="exact"/>
        <w:ind w:firstLine="640"/>
      </w:pPr>
      <w:r>
        <w:rPr>
          <w:rFonts w:hint="eastAsia"/>
        </w:rPr>
        <w:t>申请人不服被申请人于</w:t>
      </w:r>
      <w:r>
        <w:t>2024年2月11日</w:t>
      </w:r>
      <w:r>
        <w:rPr>
          <w:rFonts w:hint="eastAsia"/>
        </w:rPr>
        <w:t>以</w:t>
      </w:r>
      <w:r>
        <w:t>《公安交通管理简易程序处罚决定书》（编号：××）</w:t>
      </w:r>
      <w:r>
        <w:rPr>
          <w:rFonts w:hint="eastAsia"/>
        </w:rPr>
        <w:t>作出的行政行为，向本机关申请行政复议，本机关已依法受理，并适用简易程序审理。被申请人向本机关提交了书面答复及作出该行政行为的有关证据和依据，本案现已审理终结。</w:t>
      </w:r>
    </w:p>
    <w:p>
      <w:pPr>
        <w:wordWrap w:val="0"/>
        <w:spacing w:line="560" w:lineRule="exact"/>
        <w:ind w:firstLine="640"/>
      </w:pPr>
      <w:r>
        <w:rPr>
          <w:rFonts w:hint="eastAsia" w:ascii="黑体" w:hAnsi="黑体" w:eastAsia="黑体" w:cs="黑体"/>
        </w:rPr>
        <w:t>经查</w:t>
      </w:r>
      <w:r>
        <w:rPr>
          <w:rFonts w:hint="eastAsia"/>
        </w:rPr>
        <w:t>：202</w:t>
      </w:r>
      <w:r>
        <w:t>4</w:t>
      </w:r>
      <w:r>
        <w:rPr>
          <w:rFonts w:hint="eastAsia"/>
        </w:rPr>
        <w:t>年</w:t>
      </w:r>
      <w:r>
        <w:t>1</w:t>
      </w:r>
      <w:r>
        <w:rPr>
          <w:rFonts w:hint="eastAsia"/>
        </w:rPr>
        <w:t>月</w:t>
      </w:r>
      <w:r>
        <w:rPr>
          <w:lang w:val="en"/>
        </w:rPr>
        <w:t>2</w:t>
      </w:r>
      <w:r>
        <w:t>0</w:t>
      </w:r>
      <w:r>
        <w:rPr>
          <w:rFonts w:hint="eastAsia"/>
        </w:rPr>
        <w:t>日</w:t>
      </w:r>
      <w:r>
        <w:t>14</w:t>
      </w:r>
      <w:r>
        <w:rPr>
          <w:rFonts w:hint="eastAsia"/>
        </w:rPr>
        <w:t>时</w:t>
      </w:r>
      <w:r>
        <w:t>23</w:t>
      </w:r>
      <w:r>
        <w:rPr>
          <w:rFonts w:hint="eastAsia"/>
        </w:rPr>
        <w:t>分</w:t>
      </w:r>
      <w:r>
        <w:t>许</w:t>
      </w:r>
      <w:r>
        <w:rPr>
          <w:rFonts w:hint="eastAsia"/>
        </w:rPr>
        <w:t>，申请</w:t>
      </w:r>
      <w:r>
        <w:rPr>
          <w:rFonts w:hint="eastAsia"/>
          <w:szCs w:val="32"/>
        </w:rPr>
        <w:t>人驾驶</w:t>
      </w:r>
      <w:r>
        <w:rPr>
          <w:szCs w:val="32"/>
        </w:rPr>
        <w:t>号牌为粤B××的</w:t>
      </w:r>
      <w:r>
        <w:rPr>
          <w:rFonts w:hint="eastAsia"/>
          <w:szCs w:val="32"/>
        </w:rPr>
        <w:t>小型</w:t>
      </w:r>
      <w:r>
        <w:rPr>
          <w:szCs w:val="32"/>
        </w:rPr>
        <w:t>轿车在</w:t>
      </w:r>
      <w:r>
        <w:rPr>
          <w:rFonts w:hint="eastAsia"/>
          <w:szCs w:val="32"/>
        </w:rPr>
        <w:t>属于</w:t>
      </w:r>
      <w:r>
        <w:rPr>
          <w:rFonts w:hint="eastAsia" w:hAnsi="黑体" w:cs="黑体"/>
        </w:rPr>
        <w:t>交通繁忙路段的</w:t>
      </w:r>
      <w:r>
        <w:rPr>
          <w:szCs w:val="32"/>
        </w:rPr>
        <w:t>启德一路-启德一路（侨明路至光明大道）</w:t>
      </w:r>
      <w:r>
        <w:rPr>
          <w:rFonts w:hint="eastAsia"/>
          <w:szCs w:val="32"/>
        </w:rPr>
        <w:t>违法停车</w:t>
      </w:r>
      <w:r>
        <w:rPr>
          <w:rFonts w:hint="eastAsia"/>
        </w:rPr>
        <w:t>。</w:t>
      </w:r>
    </w:p>
    <w:p>
      <w:pPr>
        <w:wordWrap w:val="0"/>
        <w:spacing w:line="560" w:lineRule="exact"/>
        <w:ind w:firstLine="640"/>
      </w:pPr>
      <w:r>
        <w:rPr>
          <w:rFonts w:hint="eastAsia"/>
        </w:rPr>
        <w:t>被申请人摄录的违法行为证据符合公安部门相关图像技术取证规范要求，</w:t>
      </w:r>
      <w:r>
        <w:rPr>
          <w:rFonts w:hint="eastAsia"/>
          <w:szCs w:val="32"/>
        </w:rPr>
        <w:t>机动车类型、号牌、外观等特点清晰，违法时间、地点、事实准确，以上事实有被申请人提交的相关证据证明</w:t>
      </w:r>
      <w:r>
        <w:rPr>
          <w:rFonts w:hint="eastAsia"/>
        </w:rPr>
        <w:t>。</w:t>
      </w:r>
    </w:p>
    <w:p>
      <w:pPr>
        <w:wordWrap w:val="0"/>
        <w:spacing w:line="560" w:lineRule="exact"/>
        <w:ind w:firstLine="640"/>
      </w:pPr>
      <w:r>
        <w:t>2024年2月11日，</w:t>
      </w:r>
      <w:r>
        <w:rPr>
          <w:rFonts w:hint="eastAsia"/>
        </w:rPr>
        <w:t>申请人</w:t>
      </w:r>
      <w:r>
        <w:t>通过线上接受</w:t>
      </w:r>
      <w:r>
        <w:rPr>
          <w:rFonts w:hint="eastAsia"/>
        </w:rPr>
        <w:t>处理</w:t>
      </w:r>
      <w:r>
        <w:t>。</w:t>
      </w:r>
      <w:r>
        <w:rPr>
          <w:rFonts w:hint="eastAsia"/>
        </w:rPr>
        <w:t>被申请人告知申请人拟作出行政处罚决定的事实、理由、依据，以及其享有的陈述、申辩的权利。被申请人在听取申请人的陈述和申辩后，认为其理由不成立，对其作出</w:t>
      </w:r>
      <w:r>
        <w:t>《公安交通管理简易程序处罚决定书》（编号：××）</w:t>
      </w:r>
      <w:r>
        <w:rPr>
          <w:rFonts w:hint="eastAsia"/>
        </w:rPr>
        <w:t>，决定处以</w:t>
      </w:r>
      <w:r>
        <w:t>5</w:t>
      </w:r>
      <w:r>
        <w:rPr>
          <w:rFonts w:hint="eastAsia"/>
        </w:rPr>
        <w:t>00元罚款。申请人不服，向本机关申请行政复议。</w:t>
      </w:r>
    </w:p>
    <w:p>
      <w:pPr>
        <w:spacing w:line="560" w:lineRule="exact"/>
        <w:ind w:firstLine="640"/>
      </w:pPr>
      <w:r>
        <w:rPr>
          <w:rFonts w:hint="eastAsia" w:ascii="黑体" w:hAnsi="黑体" w:eastAsia="黑体" w:cs="黑体"/>
        </w:rPr>
        <w:t>本机关认为：</w:t>
      </w:r>
      <w:r>
        <w:rPr>
          <w:rFonts w:hint="eastAsia" w:hAnsi="黑体" w:cs="黑体"/>
        </w:rPr>
        <w:t>依据《深圳经济特区道路交通安全违法行为处罚条例》第十二条规定：“违反道路交通安全法律、法规关于机动车停放、临时停车规定的，处二百元以上二千元以下罚款。”《深圳市公安局交通警察局关于继续执行机动车违反停放、临时停车规定分档处罚具体执行标准的通告》［深公交（通）〔2023〕133号］第一条第（四）项规定：“一、在下列道路、路段违规停车的，处500元罚款：（四）我局依法划定的交通繁忙路段、施划有道路临时停车收费泊位的路段。”《关于划定违法停车严格管理路段的通告》［深公交(通)〔2023]280号］</w:t>
      </w:r>
      <w:r>
        <w:rPr>
          <w:rFonts w:hAnsi="黑体" w:cs="黑体"/>
        </w:rPr>
        <w:t>第二条规定：</w:t>
      </w:r>
      <w:r>
        <w:rPr>
          <w:rFonts w:hint="eastAsia" w:hAnsi="黑体" w:cs="黑体"/>
        </w:rPr>
        <w:t>“</w:t>
      </w:r>
      <w:r>
        <w:rPr>
          <w:rFonts w:hAnsi="黑体" w:cs="黑体"/>
        </w:rPr>
        <w:t>二、全时段严格管理路段中，包含交通繁忙路段363条，普通严管路614条。交警部门对上述路段从严管理，对路段内的违法停车行为全时段严格执法。</w:t>
      </w:r>
      <w:r>
        <w:rPr>
          <w:rFonts w:hint="eastAsia" w:hAnsi="黑体" w:cs="黑体"/>
        </w:rPr>
        <w:t>”第</w:t>
      </w:r>
      <w:r>
        <w:rPr>
          <w:rFonts w:hAnsi="黑体" w:cs="黑体"/>
        </w:rPr>
        <w:t>五</w:t>
      </w:r>
      <w:r>
        <w:rPr>
          <w:rFonts w:hint="eastAsia" w:hAnsi="黑体" w:cs="黑体"/>
        </w:rPr>
        <w:t>条规定：“</w:t>
      </w:r>
      <w:r>
        <w:rPr>
          <w:rFonts w:hAnsi="黑体" w:cs="黑体"/>
        </w:rPr>
        <w:t>五</w:t>
      </w:r>
      <w:r>
        <w:rPr>
          <w:rFonts w:hint="eastAsia" w:hAnsi="黑体" w:cs="黑体"/>
        </w:rPr>
        <w:t>、在全时段严格管理路段或分时段严格管理路段的严管时段内违规停放车辆或者临时停车的，交警部门在提醒纠正的同时予以处罚。”本案，申请人将涉案车辆停放于交通繁忙路段，被申请人作出的行政处罚决定事实清楚，证据确凿，适用依据准确，程序合法，依法应予以维持。</w:t>
      </w:r>
      <w:r>
        <w:rPr>
          <w:rFonts w:hint="eastAsia"/>
        </w:rPr>
        <w:t>申请人主张</w:t>
      </w:r>
      <w:r>
        <w:t>收到违停通知即驶离车辆后仍被处罚，涉案地点未加装护栏才导致大量车辆随意停放的理由</w:t>
      </w:r>
      <w:r>
        <w:rPr>
          <w:rFonts w:hint="eastAsia"/>
        </w:rPr>
        <w:t>。</w:t>
      </w:r>
      <w:r>
        <w:t>本机关认为，涉案车辆停放于属全时段严格管理路段的交通繁忙路段，</w:t>
      </w:r>
      <w:r>
        <w:rPr>
          <w:rFonts w:hint="eastAsia" w:hAnsi="黑体" w:cs="黑体"/>
        </w:rPr>
        <w:t>交警部门在提醒纠正的同时应予以处罚，</w:t>
      </w:r>
      <w:r>
        <w:t>即使申请人消除了违法状态，被申请人仍可对涉案违法行为作出处罚，且有无加装护栏并不影响认定申请人停放车辆行为的违法性。</w:t>
      </w:r>
      <w:r>
        <w:rPr>
          <w:rFonts w:hint="eastAsia"/>
        </w:rPr>
        <w:t>鉴于</w:t>
      </w:r>
      <w:r>
        <w:t>申请人所述无法律依据，</w:t>
      </w:r>
      <w:r>
        <w:rPr>
          <w:rFonts w:hint="eastAsia"/>
        </w:rPr>
        <w:t>故本机关对</w:t>
      </w:r>
      <w:r>
        <w:t>其</w:t>
      </w:r>
      <w:r>
        <w:rPr>
          <w:rFonts w:hint="eastAsia"/>
        </w:rPr>
        <w:t>主张不予支持。</w:t>
      </w:r>
    </w:p>
    <w:p>
      <w:pPr>
        <w:spacing w:line="560" w:lineRule="exact"/>
        <w:ind w:firstLine="640"/>
      </w:pPr>
      <w:r>
        <w:rPr>
          <w:rFonts w:hint="eastAsia"/>
        </w:rPr>
        <w:t>综上，根据《中华人民共和国行政复议法》第</w:t>
      </w:r>
      <w:r>
        <w:t>六十八条的规定</w:t>
      </w:r>
      <w:r>
        <w:rPr>
          <w:rFonts w:hint="eastAsia"/>
        </w:rPr>
        <w:t>，本机关作出复议决定如下：</w:t>
      </w:r>
    </w:p>
    <w:p>
      <w:pPr>
        <w:spacing w:line="560" w:lineRule="exact"/>
        <w:ind w:firstLine="640"/>
      </w:pPr>
      <w:r>
        <w:rPr>
          <w:rFonts w:hint="eastAsia"/>
        </w:rPr>
        <w:t>维持被申请人深圳市公安局交通警察支队</w:t>
      </w:r>
      <w:r>
        <w:t>光明</w:t>
      </w:r>
      <w:r>
        <w:rPr>
          <w:rFonts w:hint="eastAsia"/>
        </w:rPr>
        <w:t>大队以</w:t>
      </w:r>
      <w:r>
        <w:t>《公安交通管理简易程序处罚决定书》（编号：××）</w:t>
      </w:r>
      <w:r>
        <w:rPr>
          <w:rFonts w:hint="eastAsia"/>
        </w:rPr>
        <w:t>作出的行政行为。</w:t>
      </w:r>
    </w:p>
    <w:p>
      <w:pPr>
        <w:spacing w:line="560" w:lineRule="exact"/>
        <w:ind w:firstLine="640"/>
      </w:pPr>
      <w:r>
        <w:rPr>
          <w:rFonts w:hint="eastAsia"/>
        </w:rPr>
        <w:t>本复议决定书一经送达，即发生法律效力。申请人如对本</w:t>
      </w:r>
      <w:r>
        <w:t>复议</w:t>
      </w:r>
      <w:r>
        <w:rPr>
          <w:rFonts w:hint="eastAsia"/>
        </w:rPr>
        <w:t>决定不服，可自收到本复议决定</w:t>
      </w:r>
      <w:r>
        <w:t>书</w:t>
      </w:r>
      <w:r>
        <w:rPr>
          <w:rFonts w:hint="eastAsia"/>
        </w:rPr>
        <w:t>之日起十五日内</w:t>
      </w:r>
      <w:r>
        <w:t>依法</w:t>
      </w:r>
      <w:r>
        <w:rPr>
          <w:rFonts w:hint="eastAsia"/>
        </w:rPr>
        <w:t>向有管辖权的人民法院提起诉讼。</w:t>
      </w:r>
    </w:p>
    <w:p>
      <w:pPr>
        <w:spacing w:line="560" w:lineRule="exact"/>
        <w:ind w:firstLine="640"/>
      </w:pPr>
      <w:r>
        <w:rPr>
          <w:rFonts w:hint="eastAsia"/>
        </w:rPr>
        <w:tab/>
      </w:r>
    </w:p>
    <w:p>
      <w:pPr>
        <w:spacing w:line="560" w:lineRule="exact"/>
        <w:ind w:firstLine="320" w:firstLineChars="100"/>
      </w:pPr>
      <w:r>
        <w:rPr>
          <w:rFonts w:hint="eastAsia"/>
        </w:rPr>
        <w:tab/>
      </w:r>
      <w:r>
        <w:rPr>
          <w:rFonts w:hint="eastAsia"/>
        </w:rPr>
        <w:tab/>
      </w:r>
      <w:r>
        <w:rPr>
          <w:rFonts w:hint="eastAsia"/>
        </w:rPr>
        <w:tab/>
      </w:r>
      <w:r>
        <w:rPr>
          <w:rFonts w:hint="eastAsia"/>
        </w:rPr>
        <w:tab/>
      </w:r>
      <w:r>
        <w:rPr>
          <w:rFonts w:hint="eastAsia"/>
        </w:rPr>
        <w:t xml:space="preserve">                          </w:t>
      </w:r>
      <w:r>
        <w:t xml:space="preserve"> </w:t>
      </w:r>
      <w:r>
        <w:rPr>
          <w:rFonts w:hint="eastAsia"/>
        </w:rPr>
        <w:t>深圳市人民政府</w:t>
      </w:r>
    </w:p>
    <w:p>
      <w:pPr>
        <w:spacing w:line="560" w:lineRule="exact"/>
        <w:ind w:firstLine="6080" w:firstLineChars="1900"/>
      </w:pPr>
      <w:r>
        <w:rPr>
          <w:rFonts w:hint="eastAsia"/>
        </w:rPr>
        <w:t>202</w:t>
      </w:r>
      <w:r>
        <w:t>4</w:t>
      </w:r>
      <w:r>
        <w:rPr>
          <w:rFonts w:hint="eastAsia"/>
        </w:rPr>
        <w:t>年</w:t>
      </w:r>
      <w:r>
        <w:t>4</w:t>
      </w:r>
      <w:r>
        <w:rPr>
          <w:rFonts w:hint="eastAsia"/>
        </w:rPr>
        <w:t>月</w:t>
      </w:r>
      <w:r>
        <w:t>19</w:t>
      </w:r>
      <w:r>
        <w:rPr>
          <w:rFonts w:hint="eastAsia"/>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0" w:footer="0"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59264" behindDoc="0" locked="0" layoutInCell="1" allowOverlap="1">
              <wp:simplePos x="0" y="0"/>
              <wp:positionH relativeFrom="margin">
                <wp:posOffset>2253615</wp:posOffset>
              </wp:positionH>
              <wp:positionV relativeFrom="paragraph">
                <wp:posOffset>-828675</wp:posOffset>
              </wp:positionV>
              <wp:extent cx="1828800" cy="24511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2451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ind w:firstLine="360"/>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77.45pt;margin-top:-65.25pt;height:19.3pt;width:144pt;mso-position-horizontal-relative:margin;mso-wrap-style:none;z-index:251659264;mso-width-relative:page;mso-height-relative:page;" filled="f" stroked="f" coordsize="21600,21600" o:gfxdata="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BYAAABkcnMvUEsBAhQA&#10;FAAAAAgAh07iQB0P8VHbAAAADAEAAA8AAAAAAAAAAQAgAAAAOAAAAGRycy9kb3ducmV2LnhtbFBL&#10;AQIUABQAAAAIAIdO4kA2dOa9FgIAABgEAAAOAAAAAAAAAAEAIAAAAEABAABkcnMvZTJvRG9jLnht&#10;bFBLBQYAAAAABgAGAFkBAADIBQAAAAA=&#10;">
              <v:fill on="f" focussize="0,0"/>
              <v:stroke on="f" weight="0.5pt"/>
              <v:imagedata o:title=""/>
              <o:lock v:ext="edit" aspectratio="f"/>
              <v:textbox inset="0mm,0mm,0mm,0mm">
                <w:txbxContent>
                  <w:p>
                    <w:pPr>
                      <w:pStyle w:val="6"/>
                      <w:ind w:firstLine="360"/>
                    </w:pPr>
                    <w:r>
                      <w:t xml:space="preserve">第 </w:t>
                    </w:r>
                    <w:r>
                      <w:fldChar w:fldCharType="begin"/>
                    </w:r>
                    <w:r>
                      <w:instrText xml:space="preserve"> PAGE  \* MERGEFORMAT </w:instrText>
                    </w:r>
                    <w:r>
                      <w:fldChar w:fldCharType="separate"/>
                    </w:r>
                    <w:r>
                      <w:t>- 1 -</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xMmYxMDc2Yzg1NzNlYzA3YWNiODNhYzZlZjQ2MTYifQ=="/>
  </w:docVars>
  <w:rsids>
    <w:rsidRoot w:val="002330F7"/>
    <w:rsid w:val="002330F7"/>
    <w:rsid w:val="00336156"/>
    <w:rsid w:val="00404F1B"/>
    <w:rsid w:val="00D76E8A"/>
    <w:rsid w:val="064D14FF"/>
    <w:rsid w:val="0DA73EA2"/>
    <w:rsid w:val="0F3B42C1"/>
    <w:rsid w:val="137CAC97"/>
    <w:rsid w:val="13F01965"/>
    <w:rsid w:val="17634903"/>
    <w:rsid w:val="1A8A0673"/>
    <w:rsid w:val="1BA987F4"/>
    <w:rsid w:val="1C3F65D0"/>
    <w:rsid w:val="1CF692EA"/>
    <w:rsid w:val="1D222EB3"/>
    <w:rsid w:val="1FF50E8B"/>
    <w:rsid w:val="1FFF8135"/>
    <w:rsid w:val="21BB51E5"/>
    <w:rsid w:val="22446F17"/>
    <w:rsid w:val="24F96BD7"/>
    <w:rsid w:val="29FF9F96"/>
    <w:rsid w:val="2ADE4C65"/>
    <w:rsid w:val="2F7FFF69"/>
    <w:rsid w:val="2FAF9F25"/>
    <w:rsid w:val="30B35052"/>
    <w:rsid w:val="3347B0EF"/>
    <w:rsid w:val="33FF4239"/>
    <w:rsid w:val="35AC3511"/>
    <w:rsid w:val="35CF326E"/>
    <w:rsid w:val="36D6DF84"/>
    <w:rsid w:val="37FFE380"/>
    <w:rsid w:val="397D4908"/>
    <w:rsid w:val="3CFF7BCD"/>
    <w:rsid w:val="3D7F73A7"/>
    <w:rsid w:val="3DB3308C"/>
    <w:rsid w:val="3E76B1B5"/>
    <w:rsid w:val="3E7B8AA5"/>
    <w:rsid w:val="3F4F53EC"/>
    <w:rsid w:val="3F9FA7C9"/>
    <w:rsid w:val="3FD54539"/>
    <w:rsid w:val="3FDE7A1B"/>
    <w:rsid w:val="46326194"/>
    <w:rsid w:val="4E7F7D01"/>
    <w:rsid w:val="4EDFBEA9"/>
    <w:rsid w:val="4EFF8A57"/>
    <w:rsid w:val="4FFB3EFB"/>
    <w:rsid w:val="570AB69F"/>
    <w:rsid w:val="58FD1A05"/>
    <w:rsid w:val="593349B2"/>
    <w:rsid w:val="59BBC093"/>
    <w:rsid w:val="59F7D889"/>
    <w:rsid w:val="59FB7D69"/>
    <w:rsid w:val="5B5421F8"/>
    <w:rsid w:val="5B5EFFD3"/>
    <w:rsid w:val="5BAFD6CF"/>
    <w:rsid w:val="5DBBE0FF"/>
    <w:rsid w:val="5EB3D9C6"/>
    <w:rsid w:val="5EF7FD68"/>
    <w:rsid w:val="5EFB5BC0"/>
    <w:rsid w:val="5EFEA58A"/>
    <w:rsid w:val="5F7F69C7"/>
    <w:rsid w:val="5F9D3A0A"/>
    <w:rsid w:val="5FBF4235"/>
    <w:rsid w:val="5FDFC939"/>
    <w:rsid w:val="60BC22B4"/>
    <w:rsid w:val="622B07CE"/>
    <w:rsid w:val="633BD887"/>
    <w:rsid w:val="66F72A76"/>
    <w:rsid w:val="672D15C3"/>
    <w:rsid w:val="67FD98C0"/>
    <w:rsid w:val="67FF5256"/>
    <w:rsid w:val="69EC9485"/>
    <w:rsid w:val="7137ABF8"/>
    <w:rsid w:val="719DFCDE"/>
    <w:rsid w:val="71EE6C3A"/>
    <w:rsid w:val="73BB1952"/>
    <w:rsid w:val="752DB241"/>
    <w:rsid w:val="769FACD2"/>
    <w:rsid w:val="76EEFE07"/>
    <w:rsid w:val="77B72538"/>
    <w:rsid w:val="77FDBCD9"/>
    <w:rsid w:val="77FE2054"/>
    <w:rsid w:val="7AEBD8F9"/>
    <w:rsid w:val="7B7F0D56"/>
    <w:rsid w:val="7BBFF377"/>
    <w:rsid w:val="7BFF0910"/>
    <w:rsid w:val="7CDF26F7"/>
    <w:rsid w:val="7CEE73B3"/>
    <w:rsid w:val="7D55434E"/>
    <w:rsid w:val="7DA82C01"/>
    <w:rsid w:val="7EEFF199"/>
    <w:rsid w:val="7F3FD24E"/>
    <w:rsid w:val="7F462436"/>
    <w:rsid w:val="7FCF401B"/>
    <w:rsid w:val="7FE32037"/>
    <w:rsid w:val="7FEA394F"/>
    <w:rsid w:val="7FEEC5A2"/>
    <w:rsid w:val="7FF508E4"/>
    <w:rsid w:val="7FF9B4D0"/>
    <w:rsid w:val="7FFD6E28"/>
    <w:rsid w:val="7FFD74EA"/>
    <w:rsid w:val="7FFDE46C"/>
    <w:rsid w:val="8BF7808C"/>
    <w:rsid w:val="8DFB413B"/>
    <w:rsid w:val="8EF7D68C"/>
    <w:rsid w:val="9BDAE9D9"/>
    <w:rsid w:val="9F5F4286"/>
    <w:rsid w:val="A737A0B9"/>
    <w:rsid w:val="AF5B6723"/>
    <w:rsid w:val="B3747984"/>
    <w:rsid w:val="B5F4627D"/>
    <w:rsid w:val="B7BE99C5"/>
    <w:rsid w:val="BB5F9380"/>
    <w:rsid w:val="BBFBBC17"/>
    <w:rsid w:val="BCFFD2A0"/>
    <w:rsid w:val="BD7F34B5"/>
    <w:rsid w:val="BDF33EE3"/>
    <w:rsid w:val="BDFF4EC3"/>
    <w:rsid w:val="BEDD3371"/>
    <w:rsid w:val="BF77A6D1"/>
    <w:rsid w:val="CBFBF22B"/>
    <w:rsid w:val="CC9E13FD"/>
    <w:rsid w:val="D8F9367C"/>
    <w:rsid w:val="DBFFD502"/>
    <w:rsid w:val="DEE38FED"/>
    <w:rsid w:val="DF6F8CCB"/>
    <w:rsid w:val="DFD3C38A"/>
    <w:rsid w:val="DFF82232"/>
    <w:rsid w:val="DFFE9058"/>
    <w:rsid w:val="E7FFF30C"/>
    <w:rsid w:val="ECFED148"/>
    <w:rsid w:val="EEEF214B"/>
    <w:rsid w:val="EF35AEFD"/>
    <w:rsid w:val="EF7F88B0"/>
    <w:rsid w:val="EFAFCB60"/>
    <w:rsid w:val="EFDE0A31"/>
    <w:rsid w:val="EFEFB62F"/>
    <w:rsid w:val="EFF53055"/>
    <w:rsid w:val="EFF7BBE0"/>
    <w:rsid w:val="EFFDC17A"/>
    <w:rsid w:val="F59D502D"/>
    <w:rsid w:val="F5D445CB"/>
    <w:rsid w:val="F64EBDEB"/>
    <w:rsid w:val="F67F0D2A"/>
    <w:rsid w:val="F6FFE38C"/>
    <w:rsid w:val="F755EF6D"/>
    <w:rsid w:val="F7574AEA"/>
    <w:rsid w:val="F76FC761"/>
    <w:rsid w:val="F7BDA401"/>
    <w:rsid w:val="F8F680B6"/>
    <w:rsid w:val="F9FBC029"/>
    <w:rsid w:val="F9FD2873"/>
    <w:rsid w:val="FABFD946"/>
    <w:rsid w:val="FB3FEDDB"/>
    <w:rsid w:val="FBF3E810"/>
    <w:rsid w:val="FD9F14B4"/>
    <w:rsid w:val="FDB92018"/>
    <w:rsid w:val="FDCB46CB"/>
    <w:rsid w:val="FE31F769"/>
    <w:rsid w:val="FEFFAC78"/>
    <w:rsid w:val="FF3FEA43"/>
    <w:rsid w:val="FF882FEA"/>
    <w:rsid w:val="FF8D65A3"/>
    <w:rsid w:val="FF9BB19F"/>
    <w:rsid w:val="FFAF4B55"/>
    <w:rsid w:val="FFBF28A6"/>
    <w:rsid w:val="FFC7FEE7"/>
    <w:rsid w:val="FFCF41E1"/>
    <w:rsid w:val="FFEF27CB"/>
    <w:rsid w:val="FFFC08DE"/>
    <w:rsid w:val="FFFE152D"/>
    <w:rsid w:val="FFFFF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880" w:firstLineChars="200"/>
      <w:jc w:val="both"/>
    </w:pPr>
    <w:rPr>
      <w:rFonts w:ascii="仿宋_GB2312" w:hAnsi="仿宋_GB2312" w:eastAsia="仿宋_GB2312" w:cs="仿宋_GB2312"/>
      <w:kern w:val="2"/>
      <w:sz w:val="32"/>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260" w:after="260" w:line="413" w:lineRule="auto"/>
      <w:jc w:val="center"/>
      <w:outlineLvl w:val="1"/>
    </w:pPr>
    <w:rPr>
      <w:rFonts w:ascii="Arial" w:hAnsi="Arial" w:eastAsia="幼圆"/>
      <w:b/>
    </w:rPr>
  </w:style>
  <w:style w:type="paragraph" w:styleId="4">
    <w:name w:val="heading 3"/>
    <w:basedOn w:val="1"/>
    <w:next w:val="1"/>
    <w:semiHidden/>
    <w:unhideWhenUsed/>
    <w:qFormat/>
    <w:uiPriority w:val="0"/>
    <w:pPr>
      <w:keepNext/>
      <w:keepLines/>
      <w:spacing w:before="260" w:after="260" w:line="413" w:lineRule="auto"/>
      <w:outlineLvl w:val="2"/>
    </w:pPr>
    <w:rPr>
      <w:b/>
      <w:sz w:val="24"/>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eastAsia="黑体"/>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footnote text"/>
    <w:basedOn w:val="1"/>
    <w:link w:val="11"/>
    <w:qFormat/>
    <w:uiPriority w:val="0"/>
    <w:pPr>
      <w:snapToGrid w:val="0"/>
      <w:spacing w:line="160" w:lineRule="exact"/>
      <w:jc w:val="left"/>
    </w:pPr>
    <w:rPr>
      <w:sz w:val="15"/>
    </w:rPr>
  </w:style>
  <w:style w:type="character" w:customStyle="1" w:styleId="11">
    <w:name w:val="脚注文本 字符"/>
    <w:link w:val="8"/>
    <w:qFormat/>
    <w:uiPriority w:val="0"/>
    <w:rPr>
      <w:rFonts w:eastAsia="仿宋_GB2312"/>
      <w:sz w:val="15"/>
    </w:rPr>
  </w:style>
  <w:style w:type="character" w:customStyle="1" w:styleId="12">
    <w:name w:val="列表1"/>
    <w:basedOn w:val="10"/>
    <w:qFormat/>
    <w:uiPriority w:val="0"/>
  </w:style>
  <w:style w:type="paragraph" w:customStyle="1" w:styleId="13">
    <w:name w:val="Revision"/>
    <w:hidden/>
    <w:unhideWhenUsed/>
    <w:qFormat/>
    <w:uiPriority w:val="99"/>
    <w:rPr>
      <w:rFonts w:ascii="仿宋_GB2312" w:hAnsi="仿宋_GB2312" w:eastAsia="仿宋_GB2312" w:cs="仿宋_GB2312"/>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210</Words>
  <Characters>1202</Characters>
  <Lines>10</Lines>
  <Paragraphs>2</Paragraphs>
  <TotalTime>4</TotalTime>
  <ScaleCrop>false</ScaleCrop>
  <LinksUpToDate>false</LinksUpToDate>
  <CharactersWithSpaces>1410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2014-11-12T12:08:00Z</dcterms:created>
  <dc:creator>Administrator</dc:creator>
  <cp:lastModifiedBy>罗友敏</cp:lastModifiedBy>
  <dcterms:modified xsi:type="dcterms:W3CDTF">2024-08-19T09:58:25Z</dcterms:modified>
  <dc:title>深  圳  市  人  民  政  府</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757FB51C124B41C2A172666E5EF156EE</vt:lpwstr>
  </property>
</Properties>
</file>