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20" w:lineRule="exact"/>
        <w:jc w:val="center"/>
        <w:textAlignment w:val="auto"/>
        <w:outlineLvl w:val="0"/>
        <w:rPr>
          <w:rFonts w:ascii="方正小标宋_GBK" w:eastAsia="方正小标宋_GBK"/>
          <w:sz w:val="44"/>
          <w:szCs w:val="44"/>
        </w:rPr>
      </w:pPr>
      <w:r>
        <w:rPr>
          <w:rFonts w:ascii="方正小标宋_GBK" w:eastAsia="方正小标宋_GBK"/>
          <w:sz w:val="44"/>
          <w:szCs w:val="44"/>
        </w:rPr>
        <w:t>深  圳  市  人  民  政  府</w:t>
      </w:r>
    </w:p>
    <w:p>
      <w:pPr>
        <w:keepNext w:val="0"/>
        <w:keepLines w:val="0"/>
        <w:pageBreakBefore w:val="0"/>
        <w:widowControl w:val="0"/>
        <w:kinsoku/>
        <w:wordWrap/>
        <w:overflowPunct/>
        <w:topLinePunct w:val="0"/>
        <w:autoSpaceDE/>
        <w:autoSpaceDN/>
        <w:bidi w:val="0"/>
        <w:adjustRightInd/>
        <w:snapToGrid/>
        <w:spacing w:line="620" w:lineRule="exact"/>
        <w:jc w:val="center"/>
        <w:textAlignment w:val="auto"/>
        <w:outlineLvl w:val="0"/>
        <w:rPr>
          <w:rFonts w:ascii="宋体" w:hAnsi="宋体"/>
          <w:bCs/>
          <w:sz w:val="44"/>
        </w:rPr>
      </w:pPr>
      <w:r>
        <w:rPr>
          <w:rFonts w:hint="eastAsia" w:ascii="方正小标宋_GBK" w:hAnsi="宋体" w:eastAsia="方正小标宋_GBK"/>
          <w:bCs/>
          <w:sz w:val="44"/>
        </w:rPr>
        <w:t>行政复议决定书</w:t>
      </w:r>
    </w:p>
    <w:p>
      <w:pPr>
        <w:keepNext w:val="0"/>
        <w:keepLines w:val="0"/>
        <w:pageBreakBefore w:val="0"/>
        <w:widowControl w:val="0"/>
        <w:kinsoku/>
        <w:wordWrap/>
        <w:overflowPunct/>
        <w:topLinePunct w:val="0"/>
        <w:autoSpaceDE/>
        <w:autoSpaceDN/>
        <w:bidi w:val="0"/>
        <w:adjustRightInd/>
        <w:snapToGrid/>
        <w:spacing w:line="620" w:lineRule="exact"/>
        <w:jc w:val="center"/>
        <w:textAlignment w:val="auto"/>
      </w:pPr>
    </w:p>
    <w:p>
      <w:pPr>
        <w:keepNext w:val="0"/>
        <w:keepLines w:val="0"/>
        <w:pageBreakBefore w:val="0"/>
        <w:widowControl w:val="0"/>
        <w:kinsoku/>
        <w:wordWrap/>
        <w:overflowPunct/>
        <w:topLinePunct w:val="0"/>
        <w:autoSpaceDE/>
        <w:autoSpaceDN/>
        <w:bidi w:val="0"/>
        <w:adjustRightInd/>
        <w:snapToGrid/>
        <w:spacing w:line="620" w:lineRule="exact"/>
        <w:jc w:val="right"/>
        <w:textAlignment w:val="auto"/>
        <w:rPr>
          <w:rFonts w:ascii="仿宋" w:hAnsi="仿宋" w:eastAsia="仿宋"/>
          <w:sz w:val="32"/>
        </w:rPr>
      </w:pPr>
      <w:r>
        <w:rPr>
          <w:rFonts w:hint="eastAsia" w:ascii="仿宋_GB2312" w:hAnsi="仿宋_GB2312" w:eastAsia="仿宋_GB2312" w:cs="仿宋_GB2312"/>
          <w:sz w:val="32"/>
          <w:szCs w:val="32"/>
        </w:rPr>
        <w:t>深府行复〔202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1998</w:t>
      </w:r>
      <w:r>
        <w:rPr>
          <w:rFonts w:hint="eastAsia" w:ascii="仿宋_GB2312" w:hAnsi="仿宋_GB2312" w:eastAsia="仿宋_GB2312" w:cs="仿宋_GB2312"/>
          <w:sz w:val="32"/>
          <w:szCs w:val="32"/>
        </w:rPr>
        <w:t>号</w:t>
      </w:r>
      <w:r>
        <w:rPr>
          <w:rFonts w:hint="eastAsia" w:ascii="仿宋" w:hAnsi="仿宋" w:eastAsia="仿宋" w:cs="仿宋_GB2312"/>
          <w:b/>
          <w:bCs/>
          <w:sz w:val="32"/>
          <w:szCs w:val="32"/>
        </w:rPr>
        <w:t xml:space="preserve"> </w:t>
      </w:r>
      <w:r>
        <w:rPr>
          <w:rFonts w:ascii="仿宋" w:hAnsi="仿宋" w:eastAsia="仿宋"/>
          <w:b/>
          <w:bCs/>
          <w:sz w:val="36"/>
        </w:rPr>
        <w:t xml:space="preserve">                        </w:t>
      </w:r>
    </w:p>
    <w:p>
      <w:pPr>
        <w:keepNext w:val="0"/>
        <w:keepLines w:val="0"/>
        <w:pageBreakBefore w:val="0"/>
        <w:widowControl w:val="0"/>
        <w:kinsoku/>
        <w:wordWrap/>
        <w:overflowPunct/>
        <w:topLinePunct w:val="0"/>
        <w:autoSpaceDE/>
        <w:autoSpaceDN/>
        <w:bidi w:val="0"/>
        <w:adjustRightInd/>
        <w:snapToGrid/>
        <w:spacing w:line="620" w:lineRule="exact"/>
        <w:textAlignment w:val="auto"/>
        <w:rPr>
          <w:rFonts w:eastAsia="仿宋_GB2312"/>
          <w:sz w:val="32"/>
          <w:u w:val="single"/>
        </w:rPr>
      </w:pP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default" w:ascii="仿宋_GB2312" w:hAnsi="仿宋_GB2312" w:eastAsia="仿宋_GB2312" w:cs="仿宋_GB2312"/>
          <w:color w:val="000000"/>
          <w:sz w:val="32"/>
          <w:szCs w:val="32"/>
          <w:lang w:val="en-US" w:eastAsia="zh-CN"/>
        </w:rPr>
      </w:pPr>
      <w:r>
        <w:rPr>
          <w:rFonts w:eastAsia="黑体"/>
          <w:sz w:val="32"/>
        </w:rPr>
        <w:t>申请人：</w:t>
      </w:r>
      <w:r>
        <w:rPr>
          <w:rFonts w:hint="eastAsia" w:ascii="仿宋_GB2312" w:hAnsi="仿宋_GB2312" w:eastAsia="仿宋_GB2312" w:cs="仿宋_GB2312"/>
          <w:sz w:val="32"/>
          <w:szCs w:val="32"/>
          <w:lang w:eastAsia="zh-CN"/>
        </w:rPr>
        <w:t>陈某</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rPr>
      </w:pPr>
      <w:r>
        <w:rPr>
          <w:rFonts w:eastAsia="黑体"/>
          <w:sz w:val="32"/>
        </w:rPr>
        <w:t>被申请人：</w:t>
      </w:r>
      <w:r>
        <w:rPr>
          <w:rFonts w:hint="eastAsia" w:ascii="仿宋_GB2312" w:hAnsi="仿宋_GB2312" w:eastAsia="仿宋_GB2312" w:cs="仿宋_GB2312"/>
          <w:sz w:val="32"/>
        </w:rPr>
        <w:t>深圳市市场监督管理局宝安监管局</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地址：深圳市宝安区新安街道翻身路75号</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法定代表人：周家贵，局长</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申请人不服被申请人</w:t>
      </w:r>
      <w:r>
        <w:rPr>
          <w:rFonts w:hint="default" w:ascii="仿宋_GB2312" w:hAnsi="仿宋_GB2312" w:eastAsia="仿宋_GB2312" w:cs="仿宋_GB2312"/>
          <w:color w:val="auto"/>
          <w:sz w:val="32"/>
          <w:szCs w:val="32"/>
          <w:lang w:val="en" w:eastAsia="zh-CN"/>
        </w:rPr>
        <w:t>对其关于</w:t>
      </w:r>
      <w:r>
        <w:rPr>
          <w:rFonts w:hint="eastAsia" w:ascii="仿宋_GB2312" w:hAnsi="仿宋_GB2312" w:eastAsia="仿宋_GB2312" w:cs="仿宋_GB2312"/>
          <w:color w:val="auto"/>
          <w:sz w:val="32"/>
          <w:szCs w:val="32"/>
          <w:lang w:val="en" w:eastAsia="zh-CN"/>
        </w:rPr>
        <w:t>深圳市宝安区××购物中心上南分店的举报（业务编号：</w:t>
      </w:r>
      <w:r>
        <w:rPr>
          <w:rFonts w:hint="eastAsia" w:ascii="仿宋_GB2312" w:hAnsi="仿宋_GB2312" w:eastAsia="仿宋_GB2312" w:cs="仿宋_GB2312"/>
          <w:color w:val="auto"/>
          <w:sz w:val="32"/>
          <w:szCs w:val="32"/>
          <w:lang w:val="en-US" w:eastAsia="zh-CN"/>
        </w:rPr>
        <w:t>032401281244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sz w:val="32"/>
          <w:szCs w:val="32"/>
          <w:lang w:val="en" w:eastAsia="zh-CN"/>
        </w:rPr>
        <w:t>）作出的不予行政处罚决定</w:t>
      </w:r>
      <w:r>
        <w:rPr>
          <w:rFonts w:hint="eastAsia" w:ascii="仿宋_GB2312" w:hAnsi="仿宋_GB2312" w:eastAsia="仿宋_GB2312" w:cs="仿宋_GB2312"/>
          <w:color w:val="000000"/>
          <w:sz w:val="32"/>
          <w:szCs w:val="32"/>
        </w:rPr>
        <w:t>，向本机关申请行政复议，</w:t>
      </w:r>
      <w:r>
        <w:rPr>
          <w:rFonts w:hint="eastAsia" w:ascii="仿宋_GB2312" w:hAnsi="仿宋_GB2312" w:eastAsia="仿宋_GB2312" w:cs="仿宋_GB2312"/>
          <w:sz w:val="32"/>
          <w:szCs w:val="32"/>
        </w:rPr>
        <w:t>本机关已依法受理</w:t>
      </w:r>
      <w:r>
        <w:rPr>
          <w:rFonts w:hint="eastAsia" w:ascii="仿宋_GB2312" w:hAnsi="仿宋_GB2312" w:eastAsia="仿宋_GB2312" w:cs="仿宋_GB2312"/>
          <w:sz w:val="32"/>
          <w:szCs w:val="32"/>
          <w:lang w:eastAsia="zh-CN"/>
        </w:rPr>
        <w:t>，并适用普通程序审理。</w:t>
      </w:r>
      <w:r>
        <w:rPr>
          <w:rFonts w:hint="eastAsia" w:ascii="仿宋_GB2312" w:hAnsi="仿宋_GB2312" w:eastAsia="仿宋_GB2312" w:cs="仿宋_GB2312"/>
          <w:sz w:val="32"/>
          <w:szCs w:val="32"/>
        </w:rPr>
        <w:t>被申请人向本机关提交了书面答复及作出该行政行为的有关证据和依据，本案现已审理终结。</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outlineLvl w:val="0"/>
        <w:rPr>
          <w:rFonts w:hint="eastAsia" w:ascii="仿宋_GB2312" w:hAnsi="仿宋_GB2312" w:eastAsia="仿宋_GB2312" w:cs="仿宋_GB2312"/>
          <w:color w:val="auto"/>
          <w:sz w:val="32"/>
          <w:szCs w:val="32"/>
          <w:lang w:val="en" w:eastAsia="zh-CN"/>
        </w:rPr>
      </w:pPr>
      <w:r>
        <w:rPr>
          <w:rFonts w:eastAsia="黑体"/>
          <w:sz w:val="32"/>
        </w:rPr>
        <w:t>经查：</w:t>
      </w:r>
      <w:r>
        <w:rPr>
          <w:rFonts w:hint="eastAsia" w:ascii="仿宋_GB2312" w:hAnsi="仿宋_GB2312" w:eastAsia="仿宋_GB2312" w:cs="仿宋_GB2312"/>
          <w:b w:val="0"/>
          <w:bCs w:val="0"/>
          <w:sz w:val="32"/>
          <w:lang w:val="en-US" w:eastAsia="zh-CN"/>
        </w:rPr>
        <w:t>2024年1月28日，申请人通过民生诉求平台向被申请人举报</w:t>
      </w:r>
      <w:r>
        <w:rPr>
          <w:rFonts w:hint="eastAsia" w:ascii="仿宋_GB2312" w:hAnsi="仿宋_GB2312" w:eastAsia="仿宋_GB2312" w:cs="仿宋_GB2312"/>
          <w:color w:val="auto"/>
          <w:sz w:val="32"/>
          <w:szCs w:val="32"/>
          <w:lang w:val="en" w:eastAsia="zh-CN"/>
        </w:rPr>
        <w:t>“</w:t>
      </w:r>
      <w:r>
        <w:rPr>
          <w:rFonts w:hint="default" w:ascii="仿宋_GB2312" w:hAnsi="仿宋_GB2312" w:eastAsia="仿宋_GB2312" w:cs="仿宋_GB2312"/>
          <w:color w:val="auto"/>
          <w:sz w:val="32"/>
          <w:szCs w:val="32"/>
          <w:lang w:val="en" w:eastAsia="zh-CN"/>
        </w:rPr>
        <w:t>××</w:t>
      </w:r>
      <w:r>
        <w:rPr>
          <w:rFonts w:hint="eastAsia" w:ascii="仿宋_GB2312" w:hAnsi="仿宋_GB2312" w:eastAsia="仿宋_GB2312" w:cs="仿宋_GB2312"/>
          <w:color w:val="auto"/>
          <w:sz w:val="32"/>
          <w:szCs w:val="32"/>
          <w:lang w:val="en" w:eastAsia="zh-CN"/>
        </w:rPr>
        <w:t>连锁超市（</w:t>
      </w:r>
      <w:r>
        <w:rPr>
          <w:rFonts w:hint="default" w:ascii="仿宋_GB2312" w:hAnsi="仿宋_GB2312" w:eastAsia="仿宋_GB2312" w:cs="仿宋_GB2312"/>
          <w:color w:val="auto"/>
          <w:sz w:val="32"/>
          <w:szCs w:val="32"/>
          <w:lang w:val="en" w:eastAsia="zh-CN"/>
        </w:rPr>
        <w:t>××</w:t>
      </w:r>
      <w:r>
        <w:rPr>
          <w:rFonts w:hint="eastAsia" w:ascii="仿宋_GB2312" w:hAnsi="仿宋_GB2312" w:eastAsia="仿宋_GB2312" w:cs="仿宋_GB2312"/>
          <w:color w:val="auto"/>
          <w:sz w:val="32"/>
          <w:szCs w:val="32"/>
          <w:lang w:val="en" w:eastAsia="zh-CN"/>
        </w:rPr>
        <w:t>购物中心）”，称其在“</w:t>
      </w:r>
      <w:r>
        <w:rPr>
          <w:rFonts w:hint="default" w:ascii="仿宋_GB2312" w:hAnsi="仿宋_GB2312" w:eastAsia="仿宋_GB2312" w:cs="仿宋_GB2312"/>
          <w:color w:val="auto"/>
          <w:sz w:val="32"/>
          <w:szCs w:val="32"/>
          <w:lang w:val="en" w:eastAsia="zh-CN"/>
        </w:rPr>
        <w:t>××</w:t>
      </w:r>
      <w:r>
        <w:rPr>
          <w:rFonts w:hint="eastAsia" w:ascii="仿宋_GB2312" w:hAnsi="仿宋_GB2312" w:eastAsia="仿宋_GB2312" w:cs="仿宋_GB2312"/>
          <w:color w:val="auto"/>
          <w:sz w:val="32"/>
          <w:szCs w:val="32"/>
          <w:lang w:val="en" w:eastAsia="zh-CN"/>
        </w:rPr>
        <w:t>连锁超市（</w:t>
      </w:r>
      <w:r>
        <w:rPr>
          <w:rFonts w:hint="default" w:ascii="仿宋_GB2312" w:hAnsi="仿宋_GB2312" w:eastAsia="仿宋_GB2312" w:cs="仿宋_GB2312"/>
          <w:color w:val="auto"/>
          <w:sz w:val="32"/>
          <w:szCs w:val="32"/>
          <w:lang w:val="en" w:eastAsia="zh-CN"/>
        </w:rPr>
        <w:t>××</w:t>
      </w:r>
      <w:r>
        <w:rPr>
          <w:rFonts w:hint="eastAsia" w:ascii="仿宋_GB2312" w:hAnsi="仿宋_GB2312" w:eastAsia="仿宋_GB2312" w:cs="仿宋_GB2312"/>
          <w:color w:val="auto"/>
          <w:sz w:val="32"/>
          <w:szCs w:val="32"/>
          <w:lang w:val="en" w:eastAsia="zh-CN"/>
        </w:rPr>
        <w:t>购物中心）”购买的“半边梅”没有保质期、厂家、厂家厂址等信息，请求赔偿、查处等。</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2024年1月29日，被申请人决定对上述举报立案，并通过《投诉举报受理告知书》将立案等情况告知申请人。</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被申请人查明，被举报人为</w:t>
      </w:r>
      <w:r>
        <w:rPr>
          <w:rFonts w:hint="eastAsia" w:ascii="仿宋_GB2312" w:hAnsi="仿宋_GB2312" w:eastAsia="仿宋_GB2312" w:cs="仿宋_GB2312"/>
          <w:color w:val="auto"/>
          <w:sz w:val="32"/>
          <w:szCs w:val="32"/>
          <w:lang w:val="en" w:eastAsia="zh-CN"/>
        </w:rPr>
        <w:t>深圳市宝安区××购物中心上南分店，经营许可项目包括散装食品销售等。</w:t>
      </w:r>
      <w:r>
        <w:rPr>
          <w:rFonts w:hint="eastAsia" w:ascii="仿宋_GB2312" w:hAnsi="仿宋_GB2312" w:eastAsia="仿宋_GB2312" w:cs="仿宋_GB2312"/>
          <w:color w:val="auto"/>
          <w:sz w:val="32"/>
          <w:szCs w:val="32"/>
          <w:lang w:val="en-US" w:eastAsia="zh-CN"/>
        </w:rPr>
        <w:t>2024年3月8日，被申请人对被举报人进行现场检查，现场发现被举报产品在售卖，被举报人能提供产品合格证，现场容器上有产品合格证，产品合格证上有厂名厂址、执行标准、生产日期、保质期等信息。</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outlineLvl w:val="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2024年3月12日，被申请人认为涉案产品系散装产品进行分装销售，散装产品的合格证有保质期、厂家、厂家地址等信息，据此认定现有证据不足以认定被举报人的行为违反《中华人民共和国食品安全法》的有关规定，违法事实不成立，并依据《市场监督管理行政处罚程序规定》第六十条第一款第（三）项的规定，决定不予行政处罚。</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outlineLvl w:val="0"/>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申请人不服被申请人作出的上述</w:t>
      </w:r>
      <w:r>
        <w:rPr>
          <w:rFonts w:hint="eastAsia" w:ascii="仿宋_GB2312" w:hAnsi="仿宋_GB2312" w:eastAsia="仿宋_GB2312" w:cs="仿宋_GB2312"/>
          <w:color w:val="auto"/>
          <w:sz w:val="32"/>
          <w:szCs w:val="32"/>
          <w:lang w:val="en-US" w:eastAsia="zh-CN"/>
        </w:rPr>
        <w:t>不予行政处罚</w:t>
      </w:r>
      <w:r>
        <w:rPr>
          <w:rFonts w:hint="eastAsia" w:ascii="仿宋_GB2312" w:hAnsi="仿宋" w:eastAsia="仿宋_GB2312"/>
          <w:sz w:val="32"/>
          <w:szCs w:val="32"/>
          <w:lang w:val="en-US" w:eastAsia="zh-CN"/>
        </w:rPr>
        <w:t>决定，向本机关申请行政复议，主张涉案产品未在产品外包装标注保质期、厂家、厂址等信息，不符合《广东省食品安全条例》第十七条的规定。2024年4月17日，本机关收到申请人提出的行政复议申请，并于2024年4月23日受理。</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color w:val="000000"/>
          <w:sz w:val="32"/>
          <w:szCs w:val="32"/>
        </w:rPr>
      </w:pPr>
      <w:r>
        <w:rPr>
          <w:rFonts w:eastAsia="黑体"/>
          <w:sz w:val="32"/>
        </w:rPr>
        <w:t>本机关认为：</w:t>
      </w:r>
      <w:r>
        <w:rPr>
          <w:rFonts w:hint="eastAsia" w:ascii="仿宋_GB2312" w:hAnsi="仿宋_GB2312" w:eastAsia="仿宋_GB2312" w:cs="仿宋_GB2312"/>
          <w:sz w:val="32"/>
        </w:rPr>
        <w:t>《中华人民共和国食品安全法》第六十八条规定：“食品经营者销售散装食品，应当在散装食品的容器、外包装上标明食品的名称、生产日期或者生产批号、保质期以及生产经营者名称、地址、联系方式等内容。”《广东省食品安全条例》第十七条第一款规定：“食品经营者销售散装食品，应当在销售位置以及外包装或者容器上标注食品的名称、生产日期或者生产批号、保质期以及生产经营者的名称、地址、联系方式等内容。散装食品标注的生产日期应当与食品出厂时标注的生产日期相一致。”</w:t>
      </w:r>
      <w:r>
        <w:rPr>
          <w:rFonts w:hint="eastAsia" w:ascii="仿宋_GB2312" w:hAnsi="仿宋_GB2312" w:eastAsia="仿宋_GB2312" w:cs="仿宋_GB2312"/>
          <w:color w:val="auto"/>
          <w:sz w:val="32"/>
          <w:szCs w:val="32"/>
          <w:lang w:val="en-US" w:eastAsia="zh-CN"/>
        </w:rPr>
        <w:t>《市场监督管理行政处罚程序规定》第六十条第一款第（三）项规定：“市场监督管理部门负责人经对案件调查终结报告、审核意见、当事人陈述和申辩意见或者听证报告等进行审查，根据不同情况，分别作出以下决定……（三）违法事实不能成立的，不予行政处罚……”本案，被申请人立案调查查明被举报人</w:t>
      </w:r>
      <w:r>
        <w:rPr>
          <w:rFonts w:hint="eastAsia" w:ascii="仿宋_GB2312" w:hAnsi="仿宋_GB2312" w:eastAsia="仿宋_GB2312" w:cs="仿宋_GB2312"/>
          <w:sz w:val="32"/>
          <w:szCs w:val="22"/>
          <w:lang w:eastAsia="zh-CN"/>
        </w:rPr>
        <w:t>在销售现场容器上张贴合格证标明相关信息，符合上述关于散装食品的规定，据此认定违法事实不成立，决定不予行政处罚，并无违法或不当，依法应予维持。</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lang w:eastAsia="zh-CN"/>
        </w:rPr>
        <w:t>综上，</w:t>
      </w:r>
      <w:r>
        <w:rPr>
          <w:rFonts w:hint="eastAsia" w:ascii="仿宋_GB2312" w:hAnsi="仿宋_GB2312" w:eastAsia="仿宋_GB2312" w:cs="仿宋_GB2312"/>
          <w:sz w:val="32"/>
          <w:szCs w:val="32"/>
        </w:rPr>
        <w:t>依照《中华人民共和国行政复议法》第</w:t>
      </w:r>
      <w:r>
        <w:rPr>
          <w:rFonts w:hint="eastAsia" w:ascii="仿宋_GB2312" w:hAnsi="仿宋_GB2312" w:eastAsia="仿宋_GB2312" w:cs="仿宋_GB2312"/>
          <w:sz w:val="32"/>
          <w:szCs w:val="32"/>
          <w:lang w:eastAsia="zh-CN"/>
        </w:rPr>
        <w:t>六十八条的</w:t>
      </w:r>
      <w:r>
        <w:rPr>
          <w:rFonts w:hint="eastAsia" w:ascii="仿宋_GB2312" w:hAnsi="仿宋_GB2312" w:eastAsia="仿宋_GB2312" w:cs="仿宋_GB2312"/>
          <w:sz w:val="32"/>
          <w:szCs w:val="32"/>
        </w:rPr>
        <w:t>规定，本机关作出复议决定如下</w:t>
      </w:r>
      <w:r>
        <w:rPr>
          <w:rFonts w:hint="eastAsia" w:ascii="仿宋_GB2312" w:hAnsi="仿宋_GB2312" w:eastAsia="仿宋_GB2312" w:cs="仿宋_GB2312"/>
          <w:color w:val="000000"/>
          <w:sz w:val="32"/>
          <w:szCs w:val="32"/>
        </w:rPr>
        <w:t>：</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维持被申请人深圳市市场监督管理局宝安监管局对申请人</w:t>
      </w:r>
      <w:r>
        <w:rPr>
          <w:rFonts w:hint="eastAsia" w:ascii="仿宋_GB2312" w:hAnsi="仿宋_GB2312" w:eastAsia="仿宋_GB2312" w:cs="仿宋_GB2312"/>
          <w:color w:val="000000"/>
          <w:sz w:val="32"/>
          <w:szCs w:val="32"/>
          <w:lang w:eastAsia="zh-CN"/>
        </w:rPr>
        <w:t>陈某</w:t>
      </w:r>
      <w:r>
        <w:rPr>
          <w:rFonts w:hint="eastAsia" w:ascii="仿宋_GB2312" w:hAnsi="仿宋_GB2312" w:eastAsia="仿宋_GB2312" w:cs="仿宋_GB2312"/>
          <w:color w:val="000000"/>
          <w:sz w:val="32"/>
          <w:szCs w:val="32"/>
        </w:rPr>
        <w:t>关于深圳市宝安区</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购物中心上南分店的举报</w:t>
      </w:r>
      <w:r>
        <w:rPr>
          <w:rFonts w:hint="eastAsia" w:ascii="仿宋_GB2312" w:hAnsi="仿宋_GB2312" w:eastAsia="仿宋_GB2312" w:cs="仿宋_GB2312"/>
          <w:color w:val="auto"/>
          <w:sz w:val="32"/>
          <w:szCs w:val="32"/>
          <w:lang w:val="en" w:eastAsia="zh-CN"/>
        </w:rPr>
        <w:t>（业务编号：</w:t>
      </w:r>
      <w:r>
        <w:rPr>
          <w:rFonts w:hint="eastAsia" w:ascii="仿宋_GB2312" w:hAnsi="仿宋_GB2312" w:eastAsia="仿宋_GB2312" w:cs="仿宋_GB2312"/>
          <w:color w:val="auto"/>
          <w:sz w:val="32"/>
          <w:szCs w:val="32"/>
          <w:lang w:val="en-US" w:eastAsia="zh-CN"/>
        </w:rPr>
        <w:t>032401281244</w:t>
      </w:r>
      <w:r>
        <w:rPr>
          <w:rFonts w:hint="eastAsia" w:ascii="仿宋_GB2312" w:hAnsi="仿宋_GB2312" w:eastAsia="仿宋_GB2312" w:cs="仿宋_GB2312"/>
          <w:sz w:val="32"/>
          <w:szCs w:val="32"/>
          <w:lang w:eastAsia="zh-CN"/>
        </w:rPr>
        <w:t>××</w:t>
      </w:r>
      <w:bookmarkStart w:id="0" w:name="_GoBack"/>
      <w:bookmarkEnd w:id="0"/>
      <w:r>
        <w:rPr>
          <w:rFonts w:hint="eastAsia" w:ascii="仿宋_GB2312" w:hAnsi="仿宋_GB2312" w:eastAsia="仿宋_GB2312" w:cs="仿宋_GB2312"/>
          <w:color w:val="auto"/>
          <w:sz w:val="32"/>
          <w:szCs w:val="32"/>
          <w:lang w:val="en" w:eastAsia="zh-CN"/>
        </w:rPr>
        <w:t>）</w:t>
      </w:r>
      <w:r>
        <w:rPr>
          <w:rFonts w:hint="eastAsia" w:ascii="仿宋_GB2312" w:hAnsi="仿宋_GB2312" w:eastAsia="仿宋_GB2312" w:cs="仿宋_GB2312"/>
          <w:color w:val="000000"/>
          <w:sz w:val="32"/>
          <w:szCs w:val="32"/>
        </w:rPr>
        <w:t>作出的不予行政处罚决定。</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本复议决定书一经送达，即发生法律效力。申请人如对本复议决定不服，可自收到本复议决定书之日起十五日内依法向有管辖权的人民法院提起诉讼。</w:t>
      </w:r>
    </w:p>
    <w:p>
      <w:pPr>
        <w:keepNext w:val="0"/>
        <w:keepLines w:val="0"/>
        <w:pageBreakBefore w:val="0"/>
        <w:widowControl w:val="0"/>
        <w:kinsoku/>
        <w:wordWrap/>
        <w:overflowPunct/>
        <w:topLinePunct w:val="0"/>
        <w:autoSpaceDE/>
        <w:autoSpaceDN/>
        <w:bidi w:val="0"/>
        <w:adjustRightInd/>
        <w:snapToGrid/>
        <w:spacing w:line="620" w:lineRule="exact"/>
        <w:textAlignment w:val="auto"/>
        <w:rPr>
          <w:rFonts w:hint="eastAsia" w:ascii="仿宋_GB2312" w:hAnsi="仿宋_GB2312" w:eastAsia="仿宋_GB2312" w:cs="仿宋_GB2312"/>
          <w:color w:val="000000"/>
          <w:sz w:val="32"/>
          <w:szCs w:val="32"/>
        </w:rPr>
      </w:pPr>
    </w:p>
    <w:p>
      <w:pPr>
        <w:keepNext w:val="0"/>
        <w:keepLines w:val="0"/>
        <w:pageBreakBefore w:val="0"/>
        <w:widowControl w:val="0"/>
        <w:kinsoku/>
        <w:wordWrap/>
        <w:overflowPunct/>
        <w:topLinePunct w:val="0"/>
        <w:autoSpaceDE/>
        <w:autoSpaceDN/>
        <w:bidi w:val="0"/>
        <w:adjustRightInd/>
        <w:snapToGrid/>
        <w:spacing w:line="620" w:lineRule="exact"/>
        <w:ind w:firstLine="6080" w:firstLineChars="19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深圳市人民政府</w:t>
      </w:r>
    </w:p>
    <w:p>
      <w:pPr>
        <w:keepNext w:val="0"/>
        <w:keepLines w:val="0"/>
        <w:pageBreakBefore w:val="0"/>
        <w:widowControl w:val="0"/>
        <w:kinsoku/>
        <w:wordWrap/>
        <w:overflowPunct/>
        <w:topLinePunct w:val="0"/>
        <w:autoSpaceDE/>
        <w:autoSpaceDN/>
        <w:bidi w:val="0"/>
        <w:adjustRightInd/>
        <w:snapToGrid/>
        <w:spacing w:line="620" w:lineRule="exact"/>
        <w:ind w:firstLine="6080" w:firstLineChars="19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4</w:t>
      </w:r>
      <w:r>
        <w:rPr>
          <w:rFonts w:hint="eastAsia" w:ascii="仿宋_GB2312" w:hAnsi="仿宋_GB2312" w:eastAsia="仿宋_GB2312" w:cs="仿宋_GB2312"/>
          <w:color w:val="000000"/>
          <w:sz w:val="32"/>
          <w:szCs w:val="32"/>
        </w:rPr>
        <w:t>年</w:t>
      </w: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rPr>
        <w:t>月</w:t>
      </w:r>
      <w:r>
        <w:rPr>
          <w:rFonts w:hint="default" w:ascii="仿宋_GB2312" w:hAnsi="仿宋_GB2312" w:eastAsia="仿宋_GB2312" w:cs="仿宋_GB2312"/>
          <w:color w:val="000000"/>
          <w:sz w:val="32"/>
          <w:szCs w:val="32"/>
          <w:lang w:val="en"/>
        </w:rPr>
        <w:t>18</w:t>
      </w:r>
      <w:r>
        <w:rPr>
          <w:rFonts w:hint="eastAsia" w:ascii="仿宋_GB2312" w:hAnsi="仿宋_GB2312" w:eastAsia="仿宋_GB2312" w:cs="仿宋_GB2312"/>
          <w:color w:val="000000"/>
          <w:sz w:val="32"/>
          <w:szCs w:val="32"/>
        </w:rPr>
        <w:t>日</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_GB2312"/>
          <w:color w:val="000000"/>
          <w:sz w:val="32"/>
          <w:szCs w:val="32"/>
        </w:rPr>
      </w:pPr>
    </w:p>
    <w:p>
      <w:pPr>
        <w:keepNext w:val="0"/>
        <w:keepLines w:val="0"/>
        <w:pageBreakBefore w:val="0"/>
        <w:widowControl w:val="0"/>
        <w:kinsoku/>
        <w:wordWrap/>
        <w:overflowPunct/>
        <w:topLinePunct w:val="0"/>
        <w:autoSpaceDE/>
        <w:autoSpaceDN/>
        <w:bidi w:val="0"/>
        <w:adjustRightInd/>
        <w:snapToGrid/>
        <w:spacing w:line="620" w:lineRule="exact"/>
        <w:textAlignment w:val="auto"/>
        <w:rPr>
          <w:sz w:val="32"/>
          <w:szCs w:val="32"/>
        </w:rPr>
      </w:pPr>
    </w:p>
    <w:p>
      <w:pPr>
        <w:keepNext w:val="0"/>
        <w:keepLines w:val="0"/>
        <w:pageBreakBefore w:val="0"/>
        <w:widowControl w:val="0"/>
        <w:kinsoku/>
        <w:wordWrap/>
        <w:overflowPunct/>
        <w:topLinePunct w:val="0"/>
        <w:autoSpaceDE/>
        <w:autoSpaceDN/>
        <w:bidi w:val="0"/>
        <w:adjustRightInd/>
        <w:snapToGrid/>
        <w:spacing w:line="620" w:lineRule="exact"/>
        <w:textAlignment w:val="auto"/>
      </w:pPr>
    </w:p>
    <w:sectPr>
      <w:footerReference r:id="rId3" w:type="default"/>
      <w:pgSz w:w="11906" w:h="16838"/>
      <w:pgMar w:top="2098" w:right="1587"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script"/>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00"/>
    <w:family w:val="auto"/>
    <w:pitch w:val="default"/>
    <w:sig w:usb0="00000000" w:usb1="0000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2"/>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true"/>
  <w:bordersDoNotSurroundFooter w:val="true"/>
  <w:trackRevisions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DAD95B93"/>
    <w:rsid w:val="0DE60538"/>
    <w:rsid w:val="0DFC61C3"/>
    <w:rsid w:val="259A0A88"/>
    <w:rsid w:val="27FF72ED"/>
    <w:rsid w:val="2CAE093B"/>
    <w:rsid w:val="2E8154C1"/>
    <w:rsid w:val="2FFEEFA7"/>
    <w:rsid w:val="36DB1627"/>
    <w:rsid w:val="36F39559"/>
    <w:rsid w:val="36F5BDED"/>
    <w:rsid w:val="3B3FC500"/>
    <w:rsid w:val="3BFC4D57"/>
    <w:rsid w:val="3FEA9945"/>
    <w:rsid w:val="444D3200"/>
    <w:rsid w:val="46DC05BC"/>
    <w:rsid w:val="57FAF2A7"/>
    <w:rsid w:val="5BE6BDF5"/>
    <w:rsid w:val="5F3F8600"/>
    <w:rsid w:val="5FDB4751"/>
    <w:rsid w:val="5FF9FDD2"/>
    <w:rsid w:val="60667E80"/>
    <w:rsid w:val="66DDECD9"/>
    <w:rsid w:val="6B692444"/>
    <w:rsid w:val="6EFBF38F"/>
    <w:rsid w:val="72F8647A"/>
    <w:rsid w:val="75DA2CED"/>
    <w:rsid w:val="78FB703D"/>
    <w:rsid w:val="7B678F86"/>
    <w:rsid w:val="7C756C24"/>
    <w:rsid w:val="7EF66739"/>
    <w:rsid w:val="7F41AB03"/>
    <w:rsid w:val="7F8F1B69"/>
    <w:rsid w:val="7F93CC39"/>
    <w:rsid w:val="7F9D6003"/>
    <w:rsid w:val="7FC55F29"/>
    <w:rsid w:val="7FFD900C"/>
    <w:rsid w:val="7FFF28F7"/>
    <w:rsid w:val="7FFF9A01"/>
    <w:rsid w:val="99D6AC12"/>
    <w:rsid w:val="9B37FE0A"/>
    <w:rsid w:val="9E7B35B7"/>
    <w:rsid w:val="9F45298E"/>
    <w:rsid w:val="AEAB5B1A"/>
    <w:rsid w:val="B2FA94F5"/>
    <w:rsid w:val="B3BDACD1"/>
    <w:rsid w:val="B9DF6ACC"/>
    <w:rsid w:val="BB1FAB5C"/>
    <w:rsid w:val="BFBF0098"/>
    <w:rsid w:val="C7764C9E"/>
    <w:rsid w:val="DAD95B93"/>
    <w:rsid w:val="DBEB065E"/>
    <w:rsid w:val="DEFB4AF7"/>
    <w:rsid w:val="DFBDB4D9"/>
    <w:rsid w:val="DFBFBC7B"/>
    <w:rsid w:val="DFDF730F"/>
    <w:rsid w:val="E361B1D4"/>
    <w:rsid w:val="E3FE380E"/>
    <w:rsid w:val="E5FFFB37"/>
    <w:rsid w:val="ED6F7375"/>
    <w:rsid w:val="EEBFB9F6"/>
    <w:rsid w:val="EF7F3E17"/>
    <w:rsid w:val="EFE5080B"/>
    <w:rsid w:val="F2E7B57A"/>
    <w:rsid w:val="F2FB9789"/>
    <w:rsid w:val="F3BDABD7"/>
    <w:rsid w:val="F5F75817"/>
    <w:rsid w:val="F6EA6D3F"/>
    <w:rsid w:val="F74F465E"/>
    <w:rsid w:val="F77FE4D2"/>
    <w:rsid w:val="F7B734E6"/>
    <w:rsid w:val="F7DD6A7D"/>
    <w:rsid w:val="F7DF9E70"/>
    <w:rsid w:val="F7F12ACA"/>
    <w:rsid w:val="F7FB9350"/>
    <w:rsid w:val="F9B73C86"/>
    <w:rsid w:val="FAFEEBA5"/>
    <w:rsid w:val="FCEDA8D3"/>
    <w:rsid w:val="FEC2EFB6"/>
    <w:rsid w:val="FEEF3A1A"/>
    <w:rsid w:val="FEF7438D"/>
    <w:rsid w:val="FF6EE453"/>
    <w:rsid w:val="FF7D22F9"/>
    <w:rsid w:val="FF7F4392"/>
    <w:rsid w:val="FF9F01CD"/>
    <w:rsid w:val="FFAFF46D"/>
    <w:rsid w:val="FFFBFA2A"/>
    <w:rsid w:val="FFFE78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2024-06-19T18:45:00Z</dcterms:created>
  <dc:creator>张文静</dc:creator>
  <cp:lastModifiedBy>kylin</cp:lastModifiedBy>
  <dcterms:modified xsi:type="dcterms:W3CDTF">2024-09-05T10:35:57Z</dcterms:modified>
  <dc:title>深  圳  市  人  民  政  府</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ies>
</file>