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autoSpaceDE/>
        <w:bidi w:val="0"/>
        <w:spacing w:line="560" w:lineRule="exact"/>
        <w:jc w:val="center"/>
        <w:textAlignment w:val="auto"/>
        <w:rPr>
          <w:rFonts w:ascii="方正小标宋_GBK" w:hAnsi="宋体" w:eastAsia="方正小标宋_GBK"/>
          <w:color w:val="auto"/>
          <w:kern w:val="2"/>
          <w:sz w:val="44"/>
          <w:szCs w:val="22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2"/>
          <w:sz w:val="44"/>
          <w:szCs w:val="22"/>
          <w:highlight w:val="none"/>
        </w:rPr>
        <w:t>深  圳  市  人  民  政  府</w:t>
      </w:r>
    </w:p>
    <w:p>
      <w:pPr>
        <w:keepNext w:val="0"/>
        <w:keepLines w:val="0"/>
        <w:pageBreakBefore w:val="0"/>
        <w:widowControl w:val="0"/>
        <w:kinsoku/>
        <w:overflowPunct/>
        <w:autoSpaceDE/>
        <w:bidi w:val="0"/>
        <w:spacing w:line="560" w:lineRule="exact"/>
        <w:jc w:val="center"/>
        <w:textAlignment w:val="auto"/>
        <w:rPr>
          <w:rFonts w:ascii="宋体" w:hAnsi="宋体"/>
          <w:bCs/>
          <w:color w:val="auto"/>
          <w:kern w:val="2"/>
          <w:sz w:val="44"/>
          <w:szCs w:val="22"/>
          <w:highlight w:val="none"/>
        </w:rPr>
      </w:pPr>
      <w:r>
        <w:rPr>
          <w:rFonts w:hint="eastAsia" w:ascii="方正小标宋_GBK" w:hAnsi="宋体" w:eastAsia="方正小标宋_GBK"/>
          <w:bCs/>
          <w:color w:val="auto"/>
          <w:kern w:val="2"/>
          <w:sz w:val="44"/>
          <w:szCs w:val="22"/>
          <w:highlight w:val="none"/>
        </w:rPr>
        <w:t>行政复议决定书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color w:val="auto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hAnsi="仿宋_GB2312" w:eastAsia="仿宋_GB2312"/>
          <w:color w:val="auto"/>
          <w:sz w:val="32"/>
          <w:highlight w:val="none"/>
        </w:rPr>
      </w:pPr>
      <w:r>
        <w:rPr>
          <w:b/>
          <w:bCs/>
          <w:color w:val="auto"/>
          <w:sz w:val="36"/>
          <w:highlight w:val="none"/>
        </w:rPr>
        <w:t xml:space="preserve">       </w:t>
      </w:r>
      <w:r>
        <w:rPr>
          <w:rFonts w:eastAsia="仿宋_GB2312"/>
          <w:b/>
          <w:bCs/>
          <w:color w:val="auto"/>
          <w:sz w:val="36"/>
          <w:highlight w:val="none"/>
        </w:rPr>
        <w:t xml:space="preserve">                   </w:t>
      </w:r>
      <w:r>
        <w:rPr>
          <w:rFonts w:hint="eastAsia" w:ascii="仿宋_GB2312" w:hAnsi="仿宋_GB2312" w:eastAsia="仿宋_GB2312"/>
          <w:color w:val="auto"/>
          <w:sz w:val="32"/>
          <w:highlight w:val="none"/>
        </w:rPr>
        <w:t>深府行复〔202</w:t>
      </w:r>
      <w:r>
        <w:rPr>
          <w:rFonts w:hint="eastAsia" w:ascii="仿宋_GB2312" w:hAnsi="仿宋_GB2312" w:eastAsia="仿宋_GB2312"/>
          <w:color w:val="auto"/>
          <w:sz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/>
          <w:color w:val="auto"/>
          <w:sz w:val="32"/>
          <w:highlight w:val="none"/>
        </w:rPr>
        <w:t>〕</w:t>
      </w:r>
      <w:r>
        <w:rPr>
          <w:rFonts w:hint="eastAsia" w:ascii="仿宋_GB2312" w:hAnsi="仿宋_GB2312" w:eastAsia="仿宋_GB2312"/>
          <w:color w:val="auto"/>
          <w:sz w:val="32"/>
          <w:highlight w:val="none"/>
          <w:lang w:val="en-US" w:eastAsia="zh-CN"/>
        </w:rPr>
        <w:t>2222</w:t>
      </w:r>
      <w:r>
        <w:rPr>
          <w:rFonts w:hint="eastAsia" w:ascii="仿宋_GB2312" w:hAnsi="仿宋_GB2312" w:eastAsia="仿宋_GB2312"/>
          <w:color w:val="auto"/>
          <w:sz w:val="32"/>
          <w:highlight w:val="none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eastAsia="仿宋_GB2312"/>
          <w:color w:val="auto"/>
          <w:sz w:val="32"/>
          <w:highlight w:val="none"/>
          <w:u w:val="single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6"/>
          <w:rFonts w:hint="default" w:ascii="仿宋_GB2312" w:hAnsi="inherit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黑体"/>
          <w:color w:val="auto"/>
          <w:sz w:val="32"/>
          <w:highlight w:val="none"/>
        </w:rPr>
        <w:t>申请人：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郑某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highlight w:val="none"/>
        </w:rPr>
      </w:pPr>
      <w:r>
        <w:rPr>
          <w:rFonts w:hint="eastAsia" w:eastAsia="黑体"/>
          <w:color w:val="auto"/>
          <w:sz w:val="32"/>
          <w:highlight w:val="none"/>
        </w:rPr>
        <w:t>被申请人：</w:t>
      </w:r>
      <w:r>
        <w:rPr>
          <w:rFonts w:hint="eastAsia" w:ascii="仿宋_GB2312" w:eastAsia="仿宋_GB2312"/>
          <w:color w:val="auto"/>
          <w:sz w:val="32"/>
          <w:highlight w:val="none"/>
        </w:rPr>
        <w:t>深圳市市场监督管理局</w:t>
      </w:r>
      <w:r>
        <w:rPr>
          <w:rFonts w:hint="eastAsia" w:ascii="仿宋_GB2312" w:eastAsia="仿宋_GB2312"/>
          <w:color w:val="auto"/>
          <w:sz w:val="32"/>
          <w:highlight w:val="none"/>
          <w:lang w:eastAsia="zh-CN"/>
        </w:rPr>
        <w:t>宝安</w:t>
      </w:r>
      <w:r>
        <w:rPr>
          <w:rFonts w:hint="eastAsia" w:ascii="仿宋_GB2312" w:eastAsia="仿宋_GB2312"/>
          <w:color w:val="auto"/>
          <w:sz w:val="32"/>
          <w:highlight w:val="none"/>
        </w:rPr>
        <w:t>监管局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highlight w:val="none"/>
          <w:lang w:val="zh-CN"/>
        </w:rPr>
      </w:pPr>
      <w:r>
        <w:rPr>
          <w:rFonts w:hint="eastAsia" w:ascii="仿宋_GB2312" w:eastAsia="仿宋_GB2312"/>
          <w:color w:val="auto"/>
          <w:sz w:val="32"/>
          <w:highlight w:val="none"/>
        </w:rPr>
        <w:t>地址：</w:t>
      </w:r>
      <w:r>
        <w:rPr>
          <w:rFonts w:hint="eastAsia" w:ascii="仿宋_GB2312" w:eastAsia="仿宋_GB2312"/>
          <w:color w:val="auto"/>
          <w:sz w:val="32"/>
          <w:highlight w:val="none"/>
          <w:lang w:val="zh-CN" w:eastAsia="zh-CN"/>
        </w:rPr>
        <w:t>深圳市宝安区新安街道42区翻身路75号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highlight w:val="none"/>
          <w:lang w:val="zh-CN"/>
        </w:rPr>
      </w:pPr>
      <w:r>
        <w:rPr>
          <w:rFonts w:hint="eastAsia" w:ascii="仿宋_GB2312" w:eastAsia="仿宋_GB2312"/>
          <w:color w:val="auto"/>
          <w:sz w:val="32"/>
          <w:highlight w:val="none"/>
          <w:lang w:val="zh-CN"/>
        </w:rPr>
        <w:t>法定代表人：</w:t>
      </w:r>
      <w:r>
        <w:rPr>
          <w:rFonts w:hint="eastAsia" w:ascii="仿宋_GB2312" w:eastAsia="仿宋_GB2312"/>
          <w:color w:val="auto"/>
          <w:sz w:val="32"/>
          <w:highlight w:val="none"/>
          <w:lang w:val="zh-CN" w:eastAsia="zh-CN"/>
        </w:rPr>
        <w:t>周家贵，局长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 w:val="0"/>
        <w:overflowPunct/>
        <w:topLinePunct/>
        <w:autoSpaceDE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申请人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以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被申请人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对其关于深圳××电子有限公司的举报（编号：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1440306002023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××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）未在法定期限内作出处理结果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为由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向本机关申请行政复议，本机关依法受理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，并适用普通程序审理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。被申请人向本机关提交了书面答复及有关证据和依据，本案现已审理终结。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kern w:val="0"/>
          <w:sz w:val="32"/>
          <w:szCs w:val="32"/>
          <w:highlight w:val="none"/>
        </w:rPr>
        <w:t>经查：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2023年11月17日，被申请人收到申请人在全国12315平台提交的关于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深圳××电子有限公司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的举报（编号：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1440306002023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××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）。申请人称其通过××“××数码电器官方旗舰店”购买的“一体机电脑”没有3C认证标志违反《认证认可条例》的规定。请求被申请人在法定期限内答复查案情况、处理结果和奖励事项。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autoSpaceDE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2023年11月20日，被申请人决定立案调查。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autoSpaceDE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2024年2月8日，被申请人决定延长案件办理期限30日。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autoSpaceDE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2024年3月18日，被申请人经集体讨论决定后再次延长案件办理期限120日。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autoSpaceDE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申请人认为被申请人未在法定期限内对其举报作出处理违法，向本机关申请行政复议。本机关于2024年4月22日收到申请材料并于2024年4月28日受理本案。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黑体" w:hAnsi="Times New Roman" w:eastAsia="黑体" w:cs="Times New Roman"/>
          <w:bCs/>
          <w:color w:val="auto"/>
          <w:sz w:val="32"/>
        </w:rPr>
        <w:t>本机关认为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《市场监督管理行政处罚程序规定》</w:t>
      </w:r>
      <w:r>
        <w:rPr>
          <w:rFonts w:hint="eastAsia" w:ascii="仿宋_GB2312" w:hAnsi="仿宋_GB2312" w:eastAsia="仿宋_GB2312" w:cs="仿宋_GB2312"/>
          <w:bCs w:val="0"/>
          <w:color w:val="auto"/>
          <w:sz w:val="32"/>
          <w:szCs w:val="32"/>
          <w:highlight w:val="none"/>
        </w:rPr>
        <w:t>第六十四条</w:t>
      </w:r>
      <w:r>
        <w:rPr>
          <w:rFonts w:hint="eastAsia" w:ascii="仿宋_GB2312" w:hAnsi="仿宋_GB2312" w:eastAsia="仿宋_GB2312" w:cs="仿宋_GB2312"/>
          <w:bCs w:val="0"/>
          <w:color w:val="auto"/>
          <w:sz w:val="32"/>
          <w:szCs w:val="32"/>
          <w:highlight w:val="none"/>
          <w:lang w:val="en-US" w:eastAsia="zh-CN"/>
        </w:rPr>
        <w:t>第一款规定：“</w:t>
      </w:r>
      <w:r>
        <w:rPr>
          <w:rFonts w:hint="eastAsia" w:ascii="仿宋_GB2312" w:hAnsi="仿宋_GB2312" w:eastAsia="仿宋_GB2312" w:cs="仿宋_GB2312"/>
          <w:bCs w:val="0"/>
          <w:color w:val="auto"/>
          <w:sz w:val="32"/>
          <w:szCs w:val="32"/>
          <w:highlight w:val="none"/>
        </w:rPr>
        <w:t>适用普通程序办理的案件应当自立案之日起九十日内作出处理决定。因案情复杂或者其他原因，不能在规定期限内作出处理决定的，经市场监督管理部门负责人批准，可以延长三十日。案情特别复杂或者有其他特殊情况，经延期仍不能作出处理决定的，应当由市场监督管理部门负责人集体讨论决定是否继续延期，决定继续延期的，应当同时确定延长的合理期限。</w:t>
      </w:r>
      <w:r>
        <w:rPr>
          <w:rFonts w:hint="eastAsia" w:ascii="仿宋_GB2312" w:hAnsi="仿宋_GB2312" w:eastAsia="仿宋_GB2312" w:cs="仿宋_GB2312"/>
          <w:bCs w:val="0"/>
          <w:color w:val="auto"/>
          <w:sz w:val="32"/>
          <w:szCs w:val="32"/>
          <w:highlight w:val="none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  <w:lang w:val="en-US" w:eastAsia="zh-CN"/>
        </w:rPr>
        <w:t>根据被申请人提交的证据可以证明，</w:t>
      </w:r>
      <w:r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</w:rPr>
        <w:t>被申请人于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2023年11月20日</w:t>
      </w:r>
      <w:r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  <w:lang w:val="en-US" w:eastAsia="zh-CN"/>
        </w:rPr>
        <w:t>对申请人的举报立案</w:t>
      </w:r>
      <w:r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  <w:lang w:eastAsia="zh-CN"/>
        </w:rPr>
        <w:t>调查，办案期间经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2024年2月8日</w:t>
      </w:r>
      <w:r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2024年3月18日</w:t>
      </w:r>
      <w:r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  <w:lang w:val="en-US" w:eastAsia="zh-CN"/>
        </w:rPr>
        <w:t>两次延期，至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2024年4月22日</w:t>
      </w:r>
      <w:r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  <w:lang w:val="en-US" w:eastAsia="zh-CN"/>
        </w:rPr>
        <w:t>本机关收到申请人的行政复议申请时，被申请人的办案期限尚未届满。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autoSpaceDE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  <w:lang w:val="en-US" w:eastAsia="zh-CN"/>
        </w:rPr>
        <w:t>依据《中华人民共和国行政复议法实施条例》第十六条第一款第（一）项的规定，认为行政机关未在法定期限内履行法定职责的，有履行期限的，行政复议申请期限自履行期限届满之日起计算。本案中，申请人申请行政复议时，被申请人的履行期限尚未届满。因此，本机关认为申请人提出的行政复议申请不符合《中华人民共和国行政复议法》第三十条第一款第（四）项“在法定申请期限内提出”的规定，依法应予驳回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autoSpaceDE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</w:rPr>
        <w:t>综上，</w:t>
      </w:r>
      <w:r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  <w:lang w:eastAsia="zh-CN"/>
        </w:rPr>
        <w:t>依照</w:t>
      </w:r>
      <w:r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</w:rPr>
        <w:t>《中华人民共和国行政复议法》第</w:t>
      </w:r>
      <w:r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  <w:lang w:eastAsia="zh-CN"/>
        </w:rPr>
        <w:t>三十三</w:t>
      </w:r>
      <w:r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</w:rPr>
        <w:t>条的规定，本机关作出复议决定如下：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autoSpaceDE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  <w:lang w:val="en-US" w:eastAsia="zh-CN"/>
        </w:rPr>
        <w:t>驳回申请人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郑某</w:t>
      </w:r>
      <w:r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  <w:lang w:val="en-US" w:eastAsia="zh-CN"/>
        </w:rPr>
        <w:t>提出的上述行政复议申请。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autoSpaceDE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</w:rPr>
        <w:t>本复议决定书一经送达，即发生法律效力。申请人如对本复议决定不服，可自收到复议决定书之日起十五日内</w:t>
      </w:r>
      <w:r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  <w:lang w:eastAsia="zh-CN"/>
        </w:rPr>
        <w:t>依法</w:t>
      </w:r>
      <w:r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</w:rPr>
        <w:t>向有管辖权的人民法院提起诉讼。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深圳市人民政府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overflowPunct/>
        <w:autoSpaceDE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inherit">
    <w:altName w:val="华文仿宋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BYAAABkcnMvUEsB&#10;AhQAFAAAAAgAh07iQM6pebnPAAAABQEAAA8AAAAAAAAAAQAgAAAAOAAAAGRycy9kb3ducmV2Lnht&#10;bFBLAQIUABQAAAAIAIdO4kCqizKUswEAAFIDAAAOAAAAAAAAAAEAIAAAADQ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true"/>
  <w:bordersDoNotSurroundFooter w:val="true"/>
  <w:trackRevisions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BEDE56"/>
    <w:rsid w:val="377D0230"/>
    <w:rsid w:val="4B6DEEF3"/>
    <w:rsid w:val="56DEA3E6"/>
    <w:rsid w:val="5BBEDE56"/>
    <w:rsid w:val="5FAD4296"/>
    <w:rsid w:val="64BF4ACA"/>
    <w:rsid w:val="67F39BDD"/>
    <w:rsid w:val="6A5A4A9F"/>
    <w:rsid w:val="6BEE1CF9"/>
    <w:rsid w:val="6FF6FAD8"/>
    <w:rsid w:val="6FFE4E98"/>
    <w:rsid w:val="76FFB184"/>
    <w:rsid w:val="C5AF00E3"/>
    <w:rsid w:val="D8DCCE15"/>
    <w:rsid w:val="D9FE9BF1"/>
    <w:rsid w:val="DBFEA82E"/>
    <w:rsid w:val="EF3F2416"/>
    <w:rsid w:val="EFDFD0BB"/>
    <w:rsid w:val="F9A752A8"/>
    <w:rsid w:val="FA5FA032"/>
    <w:rsid w:val="FA9A65C4"/>
    <w:rsid w:val="FDCF023B"/>
    <w:rsid w:val="FDEE7CFD"/>
    <w:rsid w:val="FF7E8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1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列表2"/>
    <w:basedOn w:val="5"/>
    <w:qFormat/>
    <w:uiPriority w:val="0"/>
  </w:style>
  <w:style w:type="paragraph" w:customStyle="1" w:styleId="7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2024-06-23T09:47:00Z</dcterms:created>
  <dc:creator>张文静</dc:creator>
  <cp:lastModifiedBy>kylin</cp:lastModifiedBy>
  <dcterms:modified xsi:type="dcterms:W3CDTF">2024-09-05T10:37:55Z</dcterms:modified>
  <dc:title>深  圳  市  人  民  政  府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