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opLinePunct w:val="0"/>
        <w:bidi w:val="0"/>
        <w:spacing w:line="560" w:lineRule="exact"/>
        <w:jc w:val="center"/>
        <w:textAlignment w:val="auto"/>
        <w:rPr>
          <w:rFonts w:ascii="方正小标宋简体" w:hAnsi="方正小标宋简体" w:eastAsia="方正小标宋简体"/>
          <w:sz w:val="44"/>
        </w:rPr>
      </w:pPr>
      <w:bookmarkStart w:id="0" w:name="_GoBack"/>
      <w:bookmarkEnd w:id="0"/>
      <w:r>
        <w:rPr>
          <w:rFonts w:ascii="方正小标宋简体" w:hAnsi="方正小标宋简体" w:eastAsia="方正小标宋简体"/>
          <w:sz w:val="44"/>
        </w:rPr>
        <w:t>深  圳  市  人  民  政  府</w:t>
      </w:r>
    </w:p>
    <w:p>
      <w:pPr>
        <w:keepNext w:val="0"/>
        <w:keepLines w:val="0"/>
        <w:pageBreakBefore w:val="0"/>
        <w:widowControl w:val="0"/>
        <w:topLinePunct w:val="0"/>
        <w:bidi w:val="0"/>
        <w:spacing w:line="560" w:lineRule="exact"/>
        <w:jc w:val="center"/>
        <w:textAlignment w:val="auto"/>
        <w:rPr>
          <w:rFonts w:ascii="方正小标宋简体" w:hAnsi="方正小标宋简体" w:eastAsia="方正小标宋简体"/>
          <w:bCs/>
          <w:sz w:val="44"/>
        </w:rPr>
      </w:pPr>
      <w:r>
        <w:rPr>
          <w:rFonts w:ascii="方正小标宋简体" w:hAnsi="方正小标宋简体" w:eastAsia="方正小标宋简体"/>
          <w:bCs/>
          <w:sz w:val="44"/>
        </w:rPr>
        <w:t>行政复议决定书</w:t>
      </w:r>
    </w:p>
    <w:p>
      <w:pPr>
        <w:keepNext w:val="0"/>
        <w:keepLines w:val="0"/>
        <w:pageBreakBefore w:val="0"/>
        <w:widowControl w:val="0"/>
        <w:topLinePunct w:val="0"/>
        <w:bidi w:val="0"/>
        <w:spacing w:line="560" w:lineRule="exact"/>
        <w:textAlignment w:val="auto"/>
      </w:pPr>
    </w:p>
    <w:p>
      <w:pPr>
        <w:keepNext w:val="0"/>
        <w:keepLines w:val="0"/>
        <w:pageBreakBefore w:val="0"/>
        <w:widowControl w:val="0"/>
        <w:topLinePunct w:val="0"/>
        <w:bidi w:val="0"/>
        <w:spacing w:line="560" w:lineRule="exact"/>
        <w:jc w:val="right"/>
        <w:textAlignment w:val="auto"/>
        <w:rPr>
          <w:rFonts w:ascii="仿宋" w:hAnsi="仿宋" w:eastAsia="仿宋"/>
          <w:sz w:val="32"/>
          <w:szCs w:val="32"/>
        </w:rPr>
      </w:pPr>
      <w:r>
        <w:rPr>
          <w:rFonts w:hint="eastAsia" w:ascii="仿宋_GB2312" w:hAnsi="仿宋_GB2312" w:eastAsia="仿宋_GB2312" w:cs="仿宋_GB2312"/>
          <w:bCs/>
          <w:sz w:val="32"/>
          <w:szCs w:val="32"/>
        </w:rPr>
        <w:t>深府行复〔202</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586</w:t>
      </w:r>
      <w:r>
        <w:rPr>
          <w:rFonts w:hint="eastAsia" w:ascii="仿宋_GB2312" w:hAnsi="仿宋_GB2312" w:eastAsia="仿宋_GB2312" w:cs="仿宋_GB2312"/>
          <w:bCs/>
          <w:sz w:val="32"/>
          <w:szCs w:val="32"/>
        </w:rPr>
        <w:t>号</w:t>
      </w:r>
      <w:r>
        <w:rPr>
          <w:rFonts w:hint="eastAsia" w:ascii="仿宋" w:hAnsi="仿宋" w:eastAsia="仿宋"/>
          <w:bCs/>
          <w:sz w:val="32"/>
          <w:szCs w:val="32"/>
        </w:rPr>
        <w:t xml:space="preserve">                         </w:t>
      </w:r>
    </w:p>
    <w:p>
      <w:pPr>
        <w:keepNext w:val="0"/>
        <w:keepLines w:val="0"/>
        <w:pageBreakBefore w:val="0"/>
        <w:widowControl w:val="0"/>
        <w:topLinePunct w:val="0"/>
        <w:bidi w:val="0"/>
        <w:spacing w:line="560" w:lineRule="exact"/>
        <w:textAlignment w:val="auto"/>
      </w:pPr>
    </w:p>
    <w:p>
      <w:pPr>
        <w:keepNext w:val="0"/>
        <w:keepLines w:val="0"/>
        <w:pageBreakBefore w:val="0"/>
        <w:widowControl w:val="0"/>
        <w:kinsoku w:val="0"/>
        <w:overflowPunct w:val="0"/>
        <w:topLinePunct w:val="0"/>
        <w:autoSpaceDE w:val="0"/>
        <w:autoSpaceDN w:val="0"/>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黑体" w:hAnsi="黑体" w:eastAsia="黑体" w:cs="仿宋_GB2312"/>
          <w:color w:val="000000"/>
          <w:sz w:val="32"/>
          <w:szCs w:val="32"/>
        </w:rPr>
        <w:t>申请人：</w:t>
      </w:r>
      <w:r>
        <w:rPr>
          <w:rFonts w:hint="eastAsia" w:ascii="仿宋_GB2312" w:hAnsi="仿宋_GB2312" w:eastAsia="仿宋_GB2312" w:cs="仿宋_GB2312"/>
          <w:color w:val="000000"/>
          <w:sz w:val="32"/>
          <w:szCs w:val="32"/>
          <w:lang w:eastAsia="zh-CN"/>
        </w:rPr>
        <w:t>陈某</w:t>
      </w:r>
    </w:p>
    <w:p>
      <w:pPr>
        <w:keepNext w:val="0"/>
        <w:keepLines w:val="0"/>
        <w:pageBreakBefore w:val="0"/>
        <w:widowControl w:val="0"/>
        <w:topLinePunct w:val="0"/>
        <w:bidi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黑体" w:hAnsi="黑体" w:eastAsia="黑体" w:cs="仿宋_GB2312"/>
          <w:color w:val="000000"/>
          <w:sz w:val="32"/>
          <w:szCs w:val="32"/>
        </w:rPr>
        <w:t>被申请人：</w:t>
      </w:r>
      <w:r>
        <w:rPr>
          <w:rFonts w:hint="eastAsia" w:ascii="仿宋_GB2312" w:hAnsi="仿宋_GB2312" w:eastAsia="仿宋_GB2312" w:cs="仿宋_GB2312"/>
          <w:color w:val="000000"/>
          <w:sz w:val="32"/>
          <w:szCs w:val="32"/>
        </w:rPr>
        <w:t>深圳市市场监督管理局南山监管局</w:t>
      </w:r>
    </w:p>
    <w:p>
      <w:pPr>
        <w:keepNext w:val="0"/>
        <w:keepLines w:val="0"/>
        <w:pageBreakBefore w:val="0"/>
        <w:widowControl w:val="0"/>
        <w:topLinePunct w:val="0"/>
        <w:bidi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地址：深圳市南山区蛇口工业七路83号    </w:t>
      </w:r>
    </w:p>
    <w:p>
      <w:pPr>
        <w:keepNext w:val="0"/>
        <w:keepLines w:val="0"/>
        <w:pageBreakBefore w:val="0"/>
        <w:widowControl w:val="0"/>
        <w:topLinePunct w:val="0"/>
        <w:bidi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法定代表人：</w:t>
      </w:r>
      <w:r>
        <w:rPr>
          <w:rFonts w:hint="eastAsia" w:ascii="仿宋_GB2312" w:hAnsi="仿宋_GB2312" w:eastAsia="仿宋_GB2312" w:cs="仿宋_GB2312"/>
          <w:color w:val="000000"/>
          <w:sz w:val="32"/>
          <w:szCs w:val="32"/>
          <w:lang w:eastAsia="zh-CN"/>
        </w:rPr>
        <w:t>崔红兵</w:t>
      </w:r>
      <w:r>
        <w:rPr>
          <w:rFonts w:hint="eastAsia" w:ascii="仿宋_GB2312" w:hAnsi="仿宋_GB2312" w:eastAsia="仿宋_GB2312" w:cs="仿宋_GB2312"/>
          <w:color w:val="000000"/>
          <w:sz w:val="32"/>
          <w:szCs w:val="32"/>
        </w:rPr>
        <w:t>，局长</w:t>
      </w:r>
    </w:p>
    <w:p>
      <w:pPr>
        <w:keepNext w:val="0"/>
        <w:keepLines w:val="0"/>
        <w:pageBreakBefore w:val="0"/>
        <w:widowControl w:val="0"/>
        <w:topLinePunct w:val="0"/>
        <w:bidi w:val="0"/>
        <w:spacing w:line="560" w:lineRule="exact"/>
        <w:textAlignment w:val="auto"/>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申请人不服被申请人对其关于</w:t>
      </w:r>
      <w:r>
        <w:rPr>
          <w:rFonts w:hint="eastAsia" w:ascii="仿宋_GB2312" w:hAnsi="仿宋_GB2312" w:eastAsia="仿宋_GB2312"/>
          <w:sz w:val="32"/>
          <w:lang w:eastAsia="zh-CN"/>
        </w:rPr>
        <w:t>深圳市</w:t>
      </w:r>
      <w:r>
        <w:rPr>
          <w:rFonts w:hint="default" w:ascii="仿宋_GB2312" w:hAnsi="仿宋_GB2312" w:eastAsia="仿宋_GB2312" w:cs="仿宋_GB2312"/>
          <w:sz w:val="32"/>
          <w:szCs w:val="32"/>
          <w:lang w:val="en" w:eastAsia="zh-CN"/>
        </w:rPr>
        <w:t>××</w:t>
      </w:r>
      <w:r>
        <w:rPr>
          <w:rFonts w:hint="eastAsia" w:ascii="仿宋_GB2312" w:hAnsi="仿宋_GB2312" w:eastAsia="仿宋_GB2312"/>
          <w:sz w:val="32"/>
          <w:lang w:eastAsia="zh-CN"/>
        </w:rPr>
        <w:t>计算机系统有限公司</w:t>
      </w:r>
      <w:r>
        <w:rPr>
          <w:rFonts w:hint="eastAsia" w:ascii="仿宋_GB2312" w:hAnsi="仿宋_GB2312" w:eastAsia="仿宋_GB2312" w:cs="仿宋_GB2312"/>
          <w:sz w:val="32"/>
          <w:szCs w:val="32"/>
          <w:lang w:eastAsia="zh-CN"/>
        </w:rPr>
        <w:t>（以下简称被举报人）</w:t>
      </w:r>
      <w:r>
        <w:rPr>
          <w:rFonts w:hint="eastAsia" w:ascii="仿宋_GB2312" w:hAnsi="仿宋_GB2312" w:eastAsia="仿宋_GB2312"/>
          <w:sz w:val="32"/>
          <w:lang w:eastAsia="zh-CN"/>
        </w:rPr>
        <w:t>的</w:t>
      </w:r>
      <w:r>
        <w:rPr>
          <w:rFonts w:hint="default" w:ascii="仿宋_GB2312" w:hAnsi="仿宋_GB2312" w:eastAsia="仿宋_GB2312"/>
          <w:sz w:val="32"/>
          <w:lang w:eastAsia="zh-CN"/>
        </w:rPr>
        <w:t>举报（编号：</w:t>
      </w:r>
      <w:r>
        <w:rPr>
          <w:rFonts w:hint="eastAsia" w:ascii="仿宋_GB2312" w:hAnsi="仿宋_GB2312" w:eastAsia="仿宋_GB2312"/>
          <w:sz w:val="32"/>
          <w:lang w:val="en-US" w:eastAsia="zh-CN"/>
        </w:rPr>
        <w:t>21440300002024012507367537</w:t>
      </w:r>
      <w:r>
        <w:rPr>
          <w:rFonts w:hint="default" w:ascii="仿宋_GB2312" w:hAnsi="仿宋_GB2312" w:eastAsia="仿宋_GB2312"/>
          <w:sz w:val="32"/>
          <w:lang w:eastAsia="zh-CN"/>
        </w:rPr>
        <w:t>）</w:t>
      </w:r>
      <w:r>
        <w:rPr>
          <w:rFonts w:hint="eastAsia" w:ascii="仿宋_GB2312" w:hAnsi="仿宋_GB2312" w:eastAsia="仿宋_GB2312" w:cs="仿宋_GB2312"/>
          <w:color w:val="000000"/>
          <w:sz w:val="32"/>
          <w:szCs w:val="32"/>
        </w:rPr>
        <w:t>作出的不予立案决定，向本机关申请行政复议，本机关依法</w:t>
      </w:r>
      <w:r>
        <w:rPr>
          <w:rFonts w:hint="eastAsia" w:ascii="仿宋_GB2312" w:hAnsi="仿宋_GB2312" w:eastAsia="仿宋_GB2312" w:cs="仿宋_GB2312"/>
          <w:sz w:val="32"/>
          <w:szCs w:val="32"/>
        </w:rPr>
        <w:t>受理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lang w:eastAsia="zh-CN"/>
        </w:rPr>
        <w:t>并适用普通程序审理</w:t>
      </w:r>
      <w:r>
        <w:rPr>
          <w:rFonts w:hint="eastAsia" w:ascii="仿宋_GB2312" w:hAnsi="仿宋_GB2312" w:eastAsia="仿宋_GB2312" w:cs="仿宋_GB2312"/>
          <w:color w:val="000000"/>
          <w:sz w:val="32"/>
          <w:szCs w:val="32"/>
        </w:rPr>
        <w:t>。被申请人向本机关提交了书面答复及有关证据。本案现已审理终结</w:t>
      </w:r>
      <w:r>
        <w:rPr>
          <w:rFonts w:hint="eastAsia" w:ascii="仿宋_GB2312" w:hAnsi="仿宋_GB2312" w:eastAsia="仿宋_GB2312" w:cs="仿宋_GB2312"/>
          <w:sz w:val="32"/>
          <w:szCs w:val="32"/>
        </w:rPr>
        <w:t>。</w:t>
      </w:r>
    </w:p>
    <w:p>
      <w:pPr>
        <w:keepNext w:val="0"/>
        <w:keepLines w:val="0"/>
        <w:pageBreakBefore w:val="0"/>
        <w:widowControl w:val="0"/>
        <w:topLinePunct w:val="0"/>
        <w:bidi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黑体" w:eastAsia="黑体"/>
          <w:color w:val="000000"/>
          <w:sz w:val="32"/>
          <w:szCs w:val="32"/>
        </w:rPr>
        <w:t>经查：</w:t>
      </w:r>
      <w:r>
        <w:rPr>
          <w:rFonts w:hint="eastAsia" w:ascii="仿宋_GB2312" w:hAnsi="仿宋_GB2312" w:eastAsia="仿宋_GB2312" w:cs="仿宋_GB2312"/>
          <w:color w:val="000000"/>
          <w:sz w:val="32"/>
          <w:szCs w:val="32"/>
          <w:lang w:val="en-US" w:eastAsia="zh-CN"/>
        </w:rPr>
        <w:t>2024年1月25日，申请人向被申请人举报（编号：21440300002024012507367537），称被举报人的《</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color w:val="000000"/>
          <w:sz w:val="32"/>
          <w:szCs w:val="32"/>
          <w:lang w:val="en-US" w:eastAsia="zh-CN"/>
        </w:rPr>
        <w:t>软件许可及服务协议》中的格式条款作出减轻、免除自身责任，加重消费者责任、排除或者限制消费者权利的规定，比如协议第 8.2.3、8.2.4、8.3和8.4等条款，涉嫌违反《中华人民共和国民法典》《</w:t>
      </w:r>
      <w:r>
        <w:rPr>
          <w:rFonts w:hint="eastAsia" w:ascii="仿宋_GB2312" w:hAnsi="仿宋_GB2312" w:eastAsia="仿宋_GB2312" w:cs="仿宋_GB2312"/>
          <w:color w:val="000000"/>
          <w:sz w:val="32"/>
          <w:szCs w:val="32"/>
        </w:rPr>
        <w:t>合同行政监督管理办法</w:t>
      </w:r>
      <w:r>
        <w:rPr>
          <w:rFonts w:hint="eastAsia" w:ascii="仿宋_GB2312" w:hAnsi="仿宋_GB2312" w:eastAsia="仿宋_GB2312" w:cs="仿宋_GB2312"/>
          <w:color w:val="000000"/>
          <w:sz w:val="32"/>
          <w:szCs w:val="32"/>
          <w:lang w:val="en-US" w:eastAsia="zh-CN"/>
        </w:rPr>
        <w:t>》相关规定，请求被申请人予以查处。</w:t>
      </w:r>
    </w:p>
    <w:p>
      <w:pPr>
        <w:keepNext w:val="0"/>
        <w:keepLines w:val="0"/>
        <w:pageBreakBefore w:val="0"/>
        <w:widowControl w:val="0"/>
        <w:topLinePunct w:val="0"/>
        <w:bidi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_GB2312" w:eastAsia="仿宋_GB2312" w:cs="仿宋_GB2312"/>
          <w:color w:val="000000"/>
          <w:sz w:val="32"/>
          <w:szCs w:val="32"/>
          <w:lang w:val="en-US" w:eastAsia="zh-CN"/>
        </w:rPr>
        <w:t>经核查，《</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color w:val="000000"/>
          <w:sz w:val="32"/>
          <w:szCs w:val="32"/>
          <w:lang w:val="en-US" w:eastAsia="zh-CN"/>
        </w:rPr>
        <w:t>软件许可及服务协议》</w:t>
      </w:r>
      <w:r>
        <w:rPr>
          <w:rFonts w:hint="eastAsia" w:ascii="仿宋_GB2312" w:hAnsi="仿宋" w:eastAsia="仿宋_GB2312" w:cs="Times New Roman"/>
          <w:sz w:val="32"/>
          <w:szCs w:val="32"/>
        </w:rPr>
        <w:t>第</w:t>
      </w:r>
      <w:r>
        <w:rPr>
          <w:rFonts w:hint="eastAsia" w:ascii="仿宋_GB2312" w:hAnsi="仿宋" w:eastAsia="仿宋_GB2312" w:cs="Times New Roman"/>
          <w:sz w:val="32"/>
          <w:szCs w:val="32"/>
          <w:lang w:val="en-US" w:eastAsia="zh-CN"/>
        </w:rPr>
        <w:t>8.2.3 平台健康和用户体验、8.2.4 危害平台安全内容、8.3 法律责任、</w:t>
      </w:r>
      <w:r>
        <w:rPr>
          <w:rFonts w:hint="eastAsia" w:ascii="仿宋_GB2312" w:hAnsi="仿宋" w:eastAsia="仿宋_GB2312"/>
          <w:sz w:val="32"/>
          <w:szCs w:val="32"/>
          <w:lang w:val="en-US" w:eastAsia="zh-CN"/>
        </w:rPr>
        <w:t>8.4 设诈法律风险处理，上述协议条款均为</w:t>
      </w:r>
      <w:r>
        <w:rPr>
          <w:rFonts w:hint="default" w:ascii="仿宋_GB2312" w:hAnsi="仿宋_GB2312" w:eastAsia="仿宋_GB2312" w:cs="仿宋_GB2312"/>
          <w:sz w:val="32"/>
          <w:szCs w:val="32"/>
          <w:lang w:val="en" w:eastAsia="zh-CN"/>
        </w:rPr>
        <w:t>××</w:t>
      </w:r>
      <w:r>
        <w:rPr>
          <w:rFonts w:hint="eastAsia" w:ascii="仿宋_GB2312" w:hAnsi="仿宋" w:eastAsia="仿宋_GB2312"/>
          <w:sz w:val="32"/>
          <w:szCs w:val="32"/>
          <w:lang w:val="en-US" w:eastAsia="zh-CN"/>
        </w:rPr>
        <w:t>社交平台为维护互联网信息安全和社交媒体秩序而设定的用户责任义务和违规处置方案，被申请人认为，上述条款均未有加重消费者的责任、免除经营者的责任以及侵害消费者权益的内容。</w:t>
      </w:r>
    </w:p>
    <w:p>
      <w:pPr>
        <w:keepNext w:val="0"/>
        <w:keepLines w:val="0"/>
        <w:pageBreakBefore w:val="0"/>
        <w:widowControl w:val="0"/>
        <w:topLinePunct w:val="0"/>
        <w:bidi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2024年1月26日，被申请人以无证据初步证明被举报人存在违反市场监督管理法律、法规、规章的行为，决定对上述举报事项不予立案。申请人不服，申请行政复议。</w:t>
      </w:r>
    </w:p>
    <w:p>
      <w:pPr>
        <w:keepNext w:val="0"/>
        <w:keepLines w:val="0"/>
        <w:pageBreakBefore w:val="0"/>
        <w:widowControl w:val="0"/>
        <w:topLinePunct w:val="0"/>
        <w:bidi w:val="0"/>
        <w:spacing w:line="560" w:lineRule="exact"/>
        <w:ind w:firstLine="640" w:firstLineChars="200"/>
        <w:textAlignment w:val="auto"/>
        <w:rPr>
          <w:rFonts w:hint="eastAsia" w:ascii="仿宋_GB2312" w:hAnsi="仿宋_GB2312" w:eastAsia="仿宋_GB2312" w:cs="仿宋_GB2312"/>
          <w:bCs/>
          <w:sz w:val="32"/>
          <w:lang w:eastAsia="zh-CN"/>
        </w:rPr>
      </w:pPr>
      <w:r>
        <w:rPr>
          <w:rFonts w:hint="eastAsia" w:ascii="黑体" w:eastAsia="黑体"/>
          <w:bCs/>
          <w:sz w:val="32"/>
        </w:rPr>
        <w:t>本机关认为：</w:t>
      </w:r>
      <w:r>
        <w:rPr>
          <w:rFonts w:hint="eastAsia" w:ascii="仿宋_GB2312" w:hAnsi="仿宋_GB2312" w:eastAsia="仿宋_GB2312" w:cs="仿宋_GB2312"/>
          <w:bCs/>
          <w:sz w:val="32"/>
        </w:rPr>
        <w:t>《市场监督管理行政处罚程序规定》第十九条规定：“经核查，符合下列条件的，应当立案：（一）有证据初步证明存在违反市场监督管理法律、法规、规章的行为”</w:t>
      </w:r>
      <w:r>
        <w:rPr>
          <w:rFonts w:hint="eastAsia" w:ascii="仿宋_GB2312" w:hAnsi="仿宋_GB2312" w:eastAsia="仿宋_GB2312" w:cs="仿宋_GB2312"/>
          <w:bCs/>
          <w:sz w:val="32"/>
          <w:lang w:eastAsia="zh-CN"/>
        </w:rPr>
        <w:t>。</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lang w:val="en-US" w:eastAsia="zh-CN"/>
        </w:rPr>
        <w:t>本案，</w:t>
      </w:r>
      <w:r>
        <w:rPr>
          <w:rFonts w:hint="eastAsia" w:ascii="仿宋_GB2312" w:hAnsi="仿宋_GB2312" w:eastAsia="仿宋_GB2312" w:cs="仿宋_GB2312"/>
          <w:color w:val="000000"/>
          <w:sz w:val="32"/>
          <w:szCs w:val="32"/>
          <w:lang w:val="en-US" w:eastAsia="zh-CN"/>
        </w:rPr>
        <w:t>申请人举报《</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color w:val="000000"/>
          <w:sz w:val="32"/>
          <w:szCs w:val="32"/>
          <w:lang w:val="en-US" w:eastAsia="zh-CN"/>
        </w:rPr>
        <w:t>软件许可及服务协议》</w:t>
      </w:r>
      <w:r>
        <w:rPr>
          <w:rFonts w:hint="eastAsia" w:ascii="仿宋_GB2312" w:hAnsi="仿宋" w:eastAsia="仿宋_GB2312" w:cs="Times New Roman"/>
          <w:sz w:val="32"/>
          <w:szCs w:val="32"/>
        </w:rPr>
        <w:t>8.2.3、8.2.4、8.3</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rPr>
        <w:t>8.4等</w:t>
      </w:r>
      <w:r>
        <w:rPr>
          <w:rFonts w:hint="eastAsia" w:ascii="仿宋_GB2312" w:hAnsi="仿宋" w:eastAsia="仿宋_GB2312" w:cs="Times New Roman"/>
          <w:sz w:val="32"/>
          <w:szCs w:val="32"/>
          <w:lang w:eastAsia="zh-CN"/>
        </w:rPr>
        <w:t>格式</w:t>
      </w:r>
      <w:r>
        <w:rPr>
          <w:rFonts w:hint="eastAsia" w:ascii="仿宋_GB2312" w:hAnsi="仿宋" w:eastAsia="仿宋_GB2312" w:cs="Times New Roman"/>
          <w:sz w:val="32"/>
          <w:szCs w:val="32"/>
        </w:rPr>
        <w:t>条款</w:t>
      </w:r>
      <w:r>
        <w:rPr>
          <w:rFonts w:hint="eastAsia" w:ascii="仿宋_GB2312" w:hAnsi="仿宋" w:eastAsia="仿宋_GB2312" w:cs="Times New Roman"/>
          <w:sz w:val="32"/>
          <w:szCs w:val="32"/>
          <w:lang w:eastAsia="zh-CN"/>
        </w:rPr>
        <w:t>违法的问题。首先，该协议意在规范、维护互联网平台的</w:t>
      </w:r>
      <w:r>
        <w:rPr>
          <w:rFonts w:hint="eastAsia" w:ascii="仿宋_GB2312" w:hAnsi="仿宋" w:eastAsia="仿宋_GB2312"/>
          <w:sz w:val="32"/>
          <w:szCs w:val="32"/>
          <w:lang w:val="en-US" w:eastAsia="zh-CN"/>
        </w:rPr>
        <w:t>信息安全及社交媒体的正常秩序，若互联网用户存在违规行为，</w:t>
      </w:r>
      <w:r>
        <w:rPr>
          <w:rFonts w:hint="eastAsia" w:ascii="仿宋_GB2312" w:hAnsi="仿宋" w:eastAsia="仿宋_GB2312" w:cs="Times New Roman"/>
          <w:sz w:val="32"/>
          <w:szCs w:val="32"/>
          <w:lang w:eastAsia="zh-CN"/>
        </w:rPr>
        <w:t>被举报人作为互联网信息服务的提供者，有义务对违规用户作出处理。其次，被举报人作为该格式条款的提供方</w:t>
      </w:r>
      <w:r>
        <w:rPr>
          <w:rFonts w:hint="eastAsia" w:ascii="仿宋_GB2312" w:hAnsi="仿宋_GB2312" w:eastAsia="仿宋_GB2312" w:cs="仿宋_GB2312"/>
          <w:color w:val="000000"/>
          <w:sz w:val="32"/>
          <w:szCs w:val="32"/>
          <w:lang w:val="en-US" w:eastAsia="zh-CN"/>
        </w:rPr>
        <w:t>，已经通过对部分文字加黑加粗的方式履行了提示义务，提醒用户注意。因此，</w:t>
      </w:r>
      <w:r>
        <w:rPr>
          <w:rFonts w:hint="eastAsia" w:ascii="仿宋_GB2312" w:hAnsi="仿宋_GB2312" w:eastAsia="仿宋_GB2312" w:cs="仿宋_GB2312"/>
          <w:color w:val="000000"/>
          <w:sz w:val="32"/>
          <w:szCs w:val="32"/>
          <w:lang w:eastAsia="zh-CN"/>
        </w:rPr>
        <w:t>现</w:t>
      </w:r>
      <w:r>
        <w:rPr>
          <w:rFonts w:hint="eastAsia" w:ascii="仿宋_GB2312" w:hAnsi="仿宋_GB2312" w:eastAsia="仿宋_GB2312" w:cs="仿宋_GB2312"/>
          <w:sz w:val="32"/>
          <w:szCs w:val="32"/>
        </w:rPr>
        <w:t>有证据</w:t>
      </w:r>
      <w:r>
        <w:rPr>
          <w:rFonts w:hint="eastAsia" w:ascii="仿宋_GB2312" w:hAnsi="仿宋_GB2312" w:eastAsia="仿宋_GB2312" w:cs="仿宋_GB2312"/>
          <w:sz w:val="32"/>
          <w:szCs w:val="32"/>
          <w:lang w:eastAsia="zh-CN"/>
        </w:rPr>
        <w:t>不能</w:t>
      </w:r>
      <w:r>
        <w:rPr>
          <w:rFonts w:hint="eastAsia" w:ascii="仿宋_GB2312" w:hAnsi="仿宋_GB2312" w:eastAsia="仿宋_GB2312" w:cs="仿宋_GB2312"/>
          <w:sz w:val="32"/>
          <w:szCs w:val="32"/>
        </w:rPr>
        <w:t>初步证明被举报人存在违反市场监督管理法律、法规、规章的行为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lang w:val="en-US" w:eastAsia="zh-CN"/>
        </w:rPr>
        <w:t>依据上述规定，被申请人</w:t>
      </w:r>
      <w:r>
        <w:rPr>
          <w:rFonts w:hint="eastAsia" w:ascii="仿宋_GB2312" w:hAnsi="仿宋_GB2312" w:eastAsia="仿宋_GB2312" w:cs="仿宋_GB2312"/>
          <w:sz w:val="32"/>
          <w:szCs w:val="32"/>
        </w:rPr>
        <w:t>作出不予立案决定</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并无违法或不当，依法应予维持。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w:t>
      </w:r>
      <w:r>
        <w:rPr>
          <w:rFonts w:hint="eastAsia" w:ascii="仿宋_GB2312" w:hAnsi="仿宋_GB2312" w:eastAsia="仿宋_GB2312" w:cs="仿宋_GB2312"/>
          <w:sz w:val="32"/>
          <w:szCs w:val="32"/>
          <w:lang w:eastAsia="zh-CN"/>
        </w:rPr>
        <w:t>依照</w:t>
      </w:r>
      <w:r>
        <w:rPr>
          <w:rFonts w:hint="eastAsia" w:ascii="仿宋_GB2312" w:hAnsi="仿宋_GB2312" w:eastAsia="仿宋_GB2312" w:cs="仿宋_GB2312"/>
          <w:sz w:val="32"/>
          <w:szCs w:val="32"/>
        </w:rPr>
        <w:t>《中华人民共和国行政复议法》第</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十八</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规定，本机关作出复议决定如下：</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维持被申请人深圳市市场监督管理局</w:t>
      </w:r>
      <w:r>
        <w:rPr>
          <w:rFonts w:hint="eastAsia" w:ascii="仿宋_GB2312" w:hAnsi="仿宋_GB2312" w:eastAsia="仿宋_GB2312" w:cs="仿宋_GB2312"/>
          <w:sz w:val="32"/>
          <w:szCs w:val="32"/>
          <w:lang w:eastAsia="zh-CN"/>
        </w:rPr>
        <w:t>南山</w:t>
      </w:r>
      <w:r>
        <w:rPr>
          <w:rFonts w:hint="eastAsia" w:ascii="仿宋_GB2312" w:hAnsi="仿宋_GB2312" w:eastAsia="仿宋_GB2312" w:cs="仿宋_GB2312"/>
          <w:sz w:val="32"/>
          <w:szCs w:val="32"/>
        </w:rPr>
        <w:t>监管局对申请人关于</w:t>
      </w:r>
      <w:r>
        <w:rPr>
          <w:rFonts w:hint="eastAsia" w:ascii="仿宋_GB2312" w:hAnsi="仿宋_GB2312" w:eastAsia="仿宋_GB2312"/>
          <w:sz w:val="32"/>
          <w:lang w:eastAsia="zh-CN"/>
        </w:rPr>
        <w:t>深圳市</w:t>
      </w:r>
      <w:r>
        <w:rPr>
          <w:rFonts w:hint="default" w:ascii="仿宋_GB2312" w:hAnsi="仿宋_GB2312" w:eastAsia="仿宋_GB2312" w:cs="仿宋_GB2312"/>
          <w:sz w:val="32"/>
          <w:szCs w:val="32"/>
          <w:lang w:val="en" w:eastAsia="zh-CN"/>
        </w:rPr>
        <w:t>××</w:t>
      </w:r>
      <w:r>
        <w:rPr>
          <w:rFonts w:hint="eastAsia" w:ascii="仿宋_GB2312" w:hAnsi="仿宋_GB2312" w:eastAsia="仿宋_GB2312"/>
          <w:sz w:val="32"/>
          <w:lang w:eastAsia="zh-CN"/>
        </w:rPr>
        <w:t>计算机系统有限公司</w:t>
      </w:r>
      <w:r>
        <w:rPr>
          <w:rFonts w:hint="eastAsia" w:ascii="仿宋_GB2312" w:hAnsi="仿宋_GB2312" w:eastAsia="仿宋_GB2312" w:cs="仿宋_GB2312"/>
          <w:sz w:val="32"/>
          <w:szCs w:val="32"/>
        </w:rPr>
        <w:t>的举报（编号：</w:t>
      </w:r>
      <w:r>
        <w:rPr>
          <w:rFonts w:hint="eastAsia" w:ascii="仿宋_GB2312" w:hAnsi="仿宋_GB2312" w:eastAsia="仿宋_GB2312"/>
          <w:sz w:val="32"/>
          <w:lang w:val="en-US" w:eastAsia="zh-CN"/>
        </w:rPr>
        <w:t>21440300002024012507367537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作出</w:t>
      </w:r>
      <w:r>
        <w:rPr>
          <w:rFonts w:hint="eastAsia" w:ascii="仿宋_GB2312" w:hAnsi="仿宋_GB2312" w:eastAsia="仿宋_GB2312" w:cs="仿宋_GB2312"/>
          <w:sz w:val="32"/>
          <w:szCs w:val="32"/>
        </w:rPr>
        <w:t>的不予立案决定。</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本复议决定书一经送达，即发生法律效力。申请人如对复议决定不服，可自收到本复议决定书之日起十五日内向有管辖权的人民法院提起诉讼。</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深圳市人民政府</w:t>
      </w:r>
    </w:p>
    <w:p>
      <w:pPr>
        <w:pStyle w:val="2"/>
        <w:keepNext w:val="0"/>
        <w:keepLines w:val="0"/>
        <w:pageBreakBefore w:val="0"/>
        <w:widowControl w:val="0"/>
        <w:kinsoku/>
        <w:overflowPunct/>
        <w:topLinePunct w:val="0"/>
        <w:autoSpaceDE/>
        <w:autoSpaceDN/>
        <w:bidi w:val="0"/>
        <w:adjustRightInd/>
        <w:snapToGrid/>
        <w:spacing w:line="560" w:lineRule="exact"/>
        <w:ind w:firstLine="739" w:firstLineChars="231"/>
        <w:textAlignment w:val="auto"/>
        <w:rPr>
          <w:rFonts w:hint="eastAsia" w:ascii="仿宋_GB2312" w:eastAsia="仿宋_GB2312"/>
          <w:color w:val="auto"/>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3</w:t>
      </w:r>
      <w:r>
        <w:rPr>
          <w:rFonts w:hint="eastAsia" w:ascii="仿宋_GB2312" w:hAnsi="仿宋_GB2312" w:eastAsia="仿宋_GB2312" w:cs="仿宋_GB2312"/>
          <w:sz w:val="32"/>
          <w:szCs w:val="32"/>
        </w:rPr>
        <w:t>日</w:t>
      </w:r>
    </w:p>
    <w:p>
      <w:pPr>
        <w:keepNext w:val="0"/>
        <w:keepLines w:val="0"/>
        <w:pageBreakBefore w:val="0"/>
        <w:widowControl w:val="0"/>
        <w:topLinePunct w:val="0"/>
        <w:bidi w:val="0"/>
        <w:spacing w:line="560" w:lineRule="exact"/>
        <w:ind w:firstLine="640" w:firstLineChars="200"/>
        <w:textAlignment w:val="auto"/>
        <w:rPr>
          <w:rFonts w:hint="eastAsia" w:ascii="仿宋_GB2312" w:hAnsi="仿宋_GB2312" w:eastAsia="仿宋_GB2312" w:cs="仿宋_GB2312"/>
          <w:bCs/>
          <w:sz w:val="32"/>
          <w:lang w:val="en-US" w:eastAsia="zh-CN"/>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Rounded MT Bold">
    <w:altName w:val="DejaVu Sans"/>
    <w:panose1 w:val="020F0704030504030204"/>
    <w:charset w:val="00"/>
    <w:family w:val="swiss"/>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1CE95"/>
    <w:rsid w:val="38DF1539"/>
    <w:rsid w:val="3BB853F2"/>
    <w:rsid w:val="3C91CE95"/>
    <w:rsid w:val="3CDEEC22"/>
    <w:rsid w:val="3FDDDA70"/>
    <w:rsid w:val="5FF3B65E"/>
    <w:rsid w:val="67E77350"/>
    <w:rsid w:val="67FEFA0F"/>
    <w:rsid w:val="6BD3786B"/>
    <w:rsid w:val="6ED7B603"/>
    <w:rsid w:val="6F7EAA97"/>
    <w:rsid w:val="75CD9D0A"/>
    <w:rsid w:val="75FD54C9"/>
    <w:rsid w:val="77BF719C"/>
    <w:rsid w:val="A7AF5D8A"/>
    <w:rsid w:val="B77F9A55"/>
    <w:rsid w:val="BCDFCF26"/>
    <w:rsid w:val="BE3F3330"/>
    <w:rsid w:val="BF5FAFE2"/>
    <w:rsid w:val="C61C94BA"/>
    <w:rsid w:val="DFFFB842"/>
    <w:rsid w:val="EFC6B557"/>
    <w:rsid w:val="F92E922C"/>
    <w:rsid w:val="FAFF1190"/>
    <w:rsid w:val="FCFFA20C"/>
    <w:rsid w:val="FF7B84C3"/>
    <w:rsid w:val="FFC5E65C"/>
    <w:rsid w:val="FFFB4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Times New Roman" w:hAnsi="Times New Roman" w:eastAsia="宋体" w:cs="Times New Roman"/>
      <w:sz w:val="32"/>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12" w:lineRule="atLeast"/>
      <w:ind w:firstLine="420"/>
    </w:pPr>
    <w:rPr>
      <w:rFonts w:ascii="Arial Rounded MT Bold" w:hAnsi="Arial Rounded MT Bold"/>
      <w:szCs w:val="7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2024-04-04T07:20:00Z</dcterms:created>
  <dc:creator>权晶</dc:creator>
  <cp:lastModifiedBy>ฅ(˃̶̤́ ε ˂̶̤̀)ฅ♡ </cp:lastModifiedBy>
  <dcterms:modified xsi:type="dcterms:W3CDTF">2024-08-19T14:28:34Z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ies>
</file>