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lang w:eastAsia="zh-CN"/>
        </w:rPr>
      </w:pPr>
      <w:bookmarkStart w:id="0" w:name="_GoBack"/>
      <w:bookmarkEnd w:id="0"/>
      <w:r>
        <w:rPr>
          <w:rFonts w:hint="eastAsia" w:ascii="方正小标宋简体" w:eastAsia="方正小标宋简体"/>
          <w:sz w:val="44"/>
          <w:szCs w:val="44"/>
        </w:rPr>
        <w:t>深</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rPr>
        <w:t>圳</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rPr>
        <w:t>市</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lang w:eastAsia="zh-CN"/>
        </w:rPr>
        <w:t>人</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lang w:eastAsia="zh-CN"/>
        </w:rPr>
        <w:t>民</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lang w:eastAsia="zh-CN"/>
        </w:rPr>
        <w:t>政</w:t>
      </w:r>
      <w:r>
        <w:rPr>
          <w:rFonts w:hint="eastAsia" w:ascii="方正小标宋简体" w:eastAsia="方正小标宋简体"/>
          <w:sz w:val="44"/>
          <w:szCs w:val="44"/>
          <w:lang w:val="en-US" w:eastAsia="zh-CN"/>
        </w:rPr>
        <w:t xml:space="preserve"> </w:t>
      </w:r>
      <w:r>
        <w:rPr>
          <w:rFonts w:hint="default" w:ascii="方正小标宋简体" w:eastAsia="方正小标宋简体"/>
          <w:sz w:val="44"/>
          <w:szCs w:val="44"/>
          <w:lang w:val="en" w:eastAsia="zh-CN"/>
        </w:rPr>
        <w:t xml:space="preserve"> </w:t>
      </w:r>
      <w:r>
        <w:rPr>
          <w:rFonts w:hint="eastAsia" w:ascii="方正小标宋简体" w:eastAsia="方正小标宋简体"/>
          <w:sz w:val="44"/>
          <w:szCs w:val="44"/>
          <w:lang w:eastAsia="zh-CN"/>
        </w:rPr>
        <w:t>府</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行政复议决定书</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eastAsia="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深府</w:t>
      </w:r>
      <w:r>
        <w:rPr>
          <w:rFonts w:hint="eastAsia" w:ascii="仿宋_GB2312" w:hAnsi="仿宋_GB2312" w:eastAsia="仿宋_GB2312" w:cs="仿宋_GB2312"/>
          <w:sz w:val="32"/>
          <w:szCs w:val="32"/>
        </w:rPr>
        <w:t>行复〔</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809</w:t>
      </w:r>
      <w:r>
        <w:rPr>
          <w:rFonts w:hint="eastAsia" w:ascii="仿宋_GB2312" w:hAnsi="仿宋_GB2312" w:eastAsia="仿宋_GB2312" w:cs="仿宋_GB2312"/>
          <w:sz w:val="32"/>
          <w:szCs w:val="32"/>
        </w:rPr>
        <w:t>号</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sz w:val="32"/>
          <w:szCs w:val="32"/>
        </w:rPr>
        <w:t>申请人：</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sz w:val="32"/>
          <w:szCs w:val="32"/>
          <w:lang w:val="en-US" w:eastAsia="zh-CN"/>
        </w:rPr>
        <w:t>养生文化传播（深圳）有限公司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黑体" w:hAnsi="黑体" w:eastAsia="黑体"/>
          <w:sz w:val="32"/>
          <w:szCs w:val="32"/>
        </w:rPr>
        <w:t>被申请人：</w:t>
      </w:r>
      <w:r>
        <w:rPr>
          <w:rFonts w:hint="eastAsia" w:ascii="仿宋_GB2312" w:hAnsi="仿宋_GB2312" w:eastAsia="仿宋_GB2312" w:cs="仿宋_GB2312"/>
          <w:color w:val="000000"/>
          <w:sz w:val="32"/>
          <w:szCs w:val="32"/>
        </w:rPr>
        <w:t>深圳市市场监督管理局</w:t>
      </w:r>
      <w:r>
        <w:rPr>
          <w:rFonts w:hint="eastAsia" w:ascii="仿宋_GB2312" w:hAnsi="仿宋_GB2312" w:eastAsia="仿宋_GB2312" w:cs="仿宋_GB2312"/>
          <w:color w:val="000000"/>
          <w:sz w:val="32"/>
          <w:szCs w:val="32"/>
          <w:lang w:val="en-US" w:eastAsia="zh-CN"/>
        </w:rPr>
        <w:t>龙华</w:t>
      </w:r>
      <w:r>
        <w:rPr>
          <w:rFonts w:hint="eastAsia" w:ascii="仿宋_GB2312" w:hAnsi="仿宋_GB2312" w:eastAsia="仿宋_GB2312" w:cs="仿宋_GB2312"/>
          <w:color w:val="000000"/>
          <w:sz w:val="32"/>
          <w:szCs w:val="32"/>
        </w:rPr>
        <w:t>监管局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地址：</w:t>
      </w:r>
      <w:r>
        <w:rPr>
          <w:rFonts w:hint="eastAsia" w:ascii="仿宋_GB2312" w:hAnsi="仿宋_GB2312" w:eastAsia="仿宋_GB2312" w:cs="仿宋_GB2312"/>
          <w:color w:val="000000"/>
          <w:sz w:val="32"/>
          <w:szCs w:val="32"/>
          <w:lang w:val="zh-CN"/>
        </w:rPr>
        <w:t>深圳市</w:t>
      </w:r>
      <w:r>
        <w:rPr>
          <w:rFonts w:hint="eastAsia" w:ascii="仿宋_GB2312" w:hAnsi="仿宋_GB2312" w:eastAsia="仿宋_GB2312" w:cs="仿宋_GB2312"/>
          <w:color w:val="000000"/>
          <w:sz w:val="32"/>
          <w:szCs w:val="32"/>
          <w:lang w:val="en-US" w:eastAsia="zh-CN"/>
        </w:rPr>
        <w:t>龙华区观湖街道龙华大道6201号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法定代表人：</w:t>
      </w:r>
      <w:r>
        <w:rPr>
          <w:rFonts w:hint="eastAsia" w:ascii="仿宋_GB2312" w:hAnsi="仿宋_GB2312" w:eastAsia="仿宋_GB2312" w:cs="仿宋_GB2312"/>
          <w:color w:val="000000"/>
          <w:sz w:val="32"/>
          <w:szCs w:val="32"/>
          <w:lang w:val="en-US" w:eastAsia="zh-CN"/>
        </w:rPr>
        <w:t>刘云启</w:t>
      </w:r>
      <w:r>
        <w:rPr>
          <w:rFonts w:hint="eastAsia" w:ascii="仿宋_GB2312" w:hAnsi="仿宋_GB2312" w:eastAsia="仿宋_GB2312" w:cs="仿宋_GB2312"/>
          <w:color w:val="000000"/>
          <w:sz w:val="32"/>
          <w:szCs w:val="32"/>
        </w:rPr>
        <w:t>，局长</w:t>
      </w:r>
    </w:p>
    <w:p>
      <w:pPr>
        <w:keepNext w:val="0"/>
        <w:keepLines w:val="0"/>
        <w:pageBreakBefore w:val="0"/>
        <w:widowControl w:val="0"/>
        <w:kinsoku/>
        <w:wordWrap/>
        <w:overflowPunct/>
        <w:topLinePunct w:val="0"/>
        <w:autoSpaceDE/>
        <w:autoSpaceDN/>
        <w:bidi w:val="0"/>
        <w:adjustRightInd/>
        <w:snapToGrid/>
        <w:spacing w:line="560" w:lineRule="exact"/>
        <w:ind w:firstLine="1920" w:firstLineChars="600"/>
        <w:textAlignment w:val="auto"/>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申请人不服被申请人</w:t>
      </w:r>
      <w:r>
        <w:rPr>
          <w:rFonts w:hint="eastAsia" w:ascii="仿宋_GB2312" w:hAnsi="仿宋_GB2312" w:eastAsia="仿宋_GB2312" w:cs="仿宋_GB2312"/>
          <w:color w:val="auto"/>
          <w:sz w:val="32"/>
          <w:szCs w:val="32"/>
          <w:lang w:eastAsia="zh-CN"/>
        </w:rPr>
        <w:t>于</w:t>
      </w:r>
      <w:r>
        <w:rPr>
          <w:rFonts w:hint="eastAsia" w:ascii="仿宋_GB2312" w:hAnsi="仿宋_GB2312" w:eastAsia="仿宋_GB2312" w:cs="仿宋_GB2312"/>
          <w:color w:val="auto"/>
          <w:sz w:val="32"/>
          <w:szCs w:val="32"/>
          <w:lang w:val="en-US" w:eastAsia="zh-CN"/>
        </w:rPr>
        <w:t>2024年1月19日作出的深市监华延期字</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××号</w:t>
      </w:r>
      <w:r>
        <w:rPr>
          <w:rFonts w:hint="eastAsia" w:ascii="仿宋_GB2312" w:hAnsi="仿宋_GB2312" w:eastAsia="仿宋_GB2312" w:cs="仿宋_GB2312"/>
          <w:i w:val="0"/>
          <w:iCs w:val="0"/>
          <w:sz w:val="32"/>
          <w:szCs w:val="32"/>
          <w:lang w:val="en-US" w:eastAsia="zh-CN"/>
        </w:rPr>
        <w:t>《延长行政强制措施决定书》，</w:t>
      </w:r>
      <w:r>
        <w:rPr>
          <w:rFonts w:hint="eastAsia" w:ascii="仿宋_GB2312" w:hAnsi="仿宋_GB2312" w:eastAsia="仿宋_GB2312" w:cs="仿宋_GB2312"/>
          <w:sz w:val="32"/>
          <w:szCs w:val="32"/>
        </w:rPr>
        <w:t>向本机关申请行政复议，本机关已依法受理</w:t>
      </w:r>
      <w:r>
        <w:rPr>
          <w:rFonts w:hint="eastAsia" w:ascii="仿宋_GB2312" w:hAnsi="仿宋_GB2312" w:eastAsia="仿宋_GB2312" w:cs="仿宋_GB2312"/>
          <w:sz w:val="32"/>
          <w:szCs w:val="32"/>
          <w:lang w:eastAsia="zh-CN"/>
        </w:rPr>
        <w:t>，并适用普通程序审理。</w:t>
      </w:r>
      <w:r>
        <w:rPr>
          <w:rFonts w:hint="eastAsia" w:ascii="仿宋_GB2312" w:hAnsi="仿宋_GB2312" w:eastAsia="仿宋_GB2312" w:cs="仿宋_GB2312"/>
          <w:sz w:val="32"/>
          <w:szCs w:val="32"/>
        </w:rPr>
        <w:t>被申请人向本机关提交了书面答复及作出该行政行为的有关证据和依据，本案现已审理终结。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sz w:val="32"/>
          <w:szCs w:val="32"/>
        </w:rPr>
        <w:t>申请人称：</w:t>
      </w:r>
      <w:r>
        <w:rPr>
          <w:rFonts w:hint="eastAsia" w:ascii="仿宋_GB2312" w:hAnsi="仿宋_GB2312" w:eastAsia="仿宋_GB2312" w:cs="仿宋_GB2312"/>
          <w:sz w:val="32"/>
          <w:szCs w:val="32"/>
          <w:lang w:val="en-US" w:eastAsia="zh-CN"/>
        </w:rPr>
        <w:t>被申请人提供给申请人的深圳市计量质量检测研究院</w:t>
      </w:r>
      <w:r>
        <w:rPr>
          <w:rFonts w:hint="default" w:ascii="仿宋_GB2312" w:hAnsi="仿宋_GB2312" w:eastAsia="仿宋_GB2312" w:cs="仿宋_GB2312"/>
          <w:sz w:val="32"/>
          <w:szCs w:val="32"/>
          <w:lang w:val="en" w:eastAsia="zh-CN"/>
        </w:rPr>
        <w:t>No</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sz w:val="32"/>
          <w:szCs w:val="32"/>
          <w:lang w:val="en-US" w:eastAsia="zh-CN"/>
        </w:rPr>
        <w:t>检验报告是没有结论，没有法律效力的检测报告，具体原因以下：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一、该报告无CMA认证标志，不具有对社会证明作用。该报告出具方也自称只供内部使用，不具有对社会证明作用的声明。申请人认为这是没有法律效力的报告，申请人不接受。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二、本检验依据市监稽发[2023]95号文是新公布的本地内部文件，同时该报告也没有提供检测的参考值，对广大社会没有法律效力。该报告没有参考值，也没有结论，是无效的检测报告。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三、该报告的实测值违反基本常识和实际生活原理。丙氧苯基伐地那非只是在实验室使用的一种原料，其价格非常昂贵，据申请人向生产这类产品的厂家湖北</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sz w:val="32"/>
          <w:szCs w:val="32"/>
          <w:lang w:val="en-US" w:eastAsia="zh-CN"/>
        </w:rPr>
        <w:t>医药科技有限公司了解，该产品的价格为2580元/10mg。按该报告的实测值为374mg/L,那么在申请人处抽样的200ml养生酒中含75mg的丙氧苯基伐地那非，如此推算，申请人生产这四两酒光购入75mg的丙氧苯基伐地那非就需要19350元。而申请人的酒仅售499元/盒(2x100mI)。</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四、该报告称该检测样品无留样，申请人对此检测结果的公正性公平性持异议。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同时申请人也向政府作一情况反映，该事发生后，申请人曾通过不同方式送样到该检测机构要求检测该物质，该机构收费后仍不给申请人检测，至今费用也没退回，称领导不同意检测，申请人对该行为深表怀疑和不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六、被申请人超过法定时间2024年1月18日仍没有给申请人处理和回复，并且倒签有关文件日期</w:t>
      </w:r>
      <w:r>
        <w:rPr>
          <w:rFonts w:hint="default" w:ascii="仿宋_GB2312" w:hAnsi="仿宋_GB2312" w:eastAsia="仿宋_GB2312" w:cs="仿宋_GB2312"/>
          <w:sz w:val="32"/>
          <w:szCs w:val="32"/>
          <w:lang w:val="en" w:eastAsia="zh-CN"/>
        </w:rPr>
        <w:t>1</w:t>
      </w:r>
      <w:r>
        <w:rPr>
          <w:rFonts w:hint="eastAsia" w:ascii="仿宋_GB2312" w:hAnsi="仿宋_GB2312" w:eastAsia="仿宋_GB2312" w:cs="仿宋_GB2312"/>
          <w:sz w:val="32"/>
          <w:szCs w:val="32"/>
          <w:lang w:val="en-US" w:eastAsia="zh-CN"/>
        </w:rPr>
        <w:t>月18日，申请人对此行为提出异议。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七、在查扣该产品时申请人向执法人员强调了以上第一至第四点原因，同时申请人也说明这是一些职业打假人为私利敲诈勒索而作的投诉，也同时到广东省政府投诉申请人的生产工厂，广东省政府和惠州市政府对此组织了联合执法，专门对该投诉所提的物质进行检测，检测结果产品完全合格，符合《食品安全法》第38条规定，在此情况下申请人才进的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请求：撤销被申请人作出的</w:t>
      </w:r>
      <w:r>
        <w:rPr>
          <w:rFonts w:hint="eastAsia" w:ascii="仿宋_GB2312" w:hAnsi="仿宋_GB2312" w:eastAsia="仿宋_GB2312" w:cs="仿宋_GB2312"/>
          <w:color w:val="auto"/>
          <w:sz w:val="32"/>
          <w:szCs w:val="32"/>
          <w:lang w:val="en-US" w:eastAsia="zh-CN"/>
        </w:rPr>
        <w:t>深市监华延期字</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××号</w:t>
      </w:r>
      <w:r>
        <w:rPr>
          <w:rFonts w:hint="eastAsia" w:ascii="仿宋_GB2312" w:hAnsi="仿宋_GB2312" w:eastAsia="仿宋_GB2312" w:cs="仿宋_GB2312"/>
          <w:i w:val="0"/>
          <w:iCs w:val="0"/>
          <w:sz w:val="32"/>
          <w:szCs w:val="32"/>
          <w:lang w:val="en-US" w:eastAsia="zh-CN"/>
        </w:rPr>
        <w:t>《延长行政强制措施决定书》。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sz w:val="32"/>
          <w:szCs w:val="32"/>
        </w:rPr>
        <w:t>被申请人答复称：</w:t>
      </w:r>
      <w:r>
        <w:rPr>
          <w:rFonts w:hint="eastAsia" w:ascii="仿宋_GB2312" w:hAnsi="仿宋_GB2312" w:eastAsia="仿宋_GB2312" w:cs="仿宋_GB2312"/>
          <w:sz w:val="32"/>
          <w:szCs w:val="32"/>
        </w:rPr>
        <w:t>一、被申请人作出的行政强制措施及延长行政强制措施决定程序合法。2023年11月25日，被申请人接到案外人张</w:t>
      </w:r>
      <w:r>
        <w:rPr>
          <w:rFonts w:hint="eastAsia" w:ascii="仿宋_GB2312" w:hAnsi="仿宋_GB2312" w:eastAsia="仿宋_GB2312" w:cs="仿宋_GB2312"/>
          <w:sz w:val="32"/>
          <w:szCs w:val="32"/>
          <w:lang w:val="en-US" w:eastAsia="zh-CN"/>
        </w:rPr>
        <w:t>某</w:t>
      </w:r>
      <w:r>
        <w:rPr>
          <w:rFonts w:hint="eastAsia" w:ascii="仿宋_GB2312" w:hAnsi="仿宋_GB2312" w:eastAsia="仿宋_GB2312" w:cs="仿宋_GB2312"/>
          <w:sz w:val="32"/>
          <w:szCs w:val="32"/>
        </w:rPr>
        <w:t>提起的举报(工单编号：1440309002023112555636500),称申请人经营的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店铺销售的</w:t>
      </w:r>
      <w:r>
        <w:rPr>
          <w:rFonts w:hint="default" w:ascii="仿宋_GB2312" w:hAnsi="仿宋_GB2312" w:eastAsia="仿宋_GB2312" w:cs="仿宋_GB2312"/>
          <w:sz w:val="32"/>
          <w:szCs w:val="32"/>
          <w:lang w:val="en"/>
        </w:rPr>
        <w:t>××</w:t>
      </w:r>
      <w:r>
        <w:rPr>
          <w:rFonts w:hint="eastAsia" w:ascii="仿宋_GB2312" w:hAnsi="仿宋_GB2312" w:eastAsia="仿宋_GB2312" w:cs="仿宋_GB2312"/>
          <w:sz w:val="32"/>
          <w:szCs w:val="32"/>
        </w:rPr>
        <w:t>养生酒检测出0-丙基伐地那非，违反了食品安全法第121条，且涉嫌虚假宣传、欺诈消费者，宣传治疗功效，根据药品管理法的规定，可认定为假药，请求查处并赔偿。其提供了检测报告，检测结果显示涉案养生酒中含有0-丙基伐地那非。2023年12月8日，被申请人前往申请人住所地，针对申请人正在销售的“</w:t>
      </w:r>
      <w:r>
        <w:rPr>
          <w:rFonts w:hint="default" w:ascii="仿宋_GB2312" w:hAnsi="仿宋_GB2312" w:eastAsia="仿宋_GB2312" w:cs="仿宋_GB2312"/>
          <w:sz w:val="32"/>
          <w:szCs w:val="32"/>
          <w:lang w:val="en"/>
        </w:rPr>
        <w:t>××</w:t>
      </w:r>
      <w:r>
        <w:rPr>
          <w:rFonts w:hint="eastAsia" w:ascii="仿宋_GB2312" w:hAnsi="仿宋_GB2312" w:eastAsia="仿宋_GB2312" w:cs="仿宋_GB2312"/>
          <w:sz w:val="32"/>
          <w:szCs w:val="32"/>
        </w:rPr>
        <w:t>养生酒(露酒)”开展执法抽查。2023年12月11日，因需要进一步调查取证，经负责人批准，被申请人延长立案期限十五个工作日。2023年12月15日，深圳市计量质量检测研究院出具了</w:t>
      </w:r>
      <w:r>
        <w:rPr>
          <w:rFonts w:hint="default" w:ascii="仿宋_GB2312" w:hAnsi="仿宋_GB2312" w:eastAsia="仿宋_GB2312" w:cs="仿宋_GB2312"/>
          <w:sz w:val="32"/>
          <w:szCs w:val="32"/>
          <w:lang w:val="en"/>
        </w:rPr>
        <w:t>No</w:t>
      </w: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lang w:val="en"/>
        </w:rPr>
        <w:t>××</w:t>
      </w:r>
      <w:r>
        <w:rPr>
          <w:rFonts w:hint="eastAsia" w:ascii="仿宋_GB2312" w:hAnsi="仿宋_GB2312" w:eastAsia="仿宋_GB2312" w:cs="仿宋_GB2312"/>
          <w:sz w:val="32"/>
          <w:szCs w:val="32"/>
        </w:rPr>
        <w:t>《检验报告》,报告载明，丙氧苯基伐地那非的实测值为374mg/L。2023年12月20日，被申请人前往申请人注册地址深圳市龙华区</w:t>
      </w:r>
      <w:r>
        <w:rPr>
          <w:rFonts w:hint="default" w:ascii="仿宋_GB2312" w:hAnsi="仿宋_GB2312" w:eastAsia="仿宋_GB2312" w:cs="仿宋_GB2312"/>
          <w:sz w:val="32"/>
          <w:szCs w:val="32"/>
          <w:lang w:val="en"/>
        </w:rPr>
        <w:t>××</w:t>
      </w:r>
      <w:r>
        <w:rPr>
          <w:rFonts w:hint="eastAsia" w:ascii="仿宋_GB2312" w:hAnsi="仿宋_GB2312" w:eastAsia="仿宋_GB2312" w:cs="仿宋_GB2312"/>
          <w:sz w:val="32"/>
          <w:szCs w:val="32"/>
        </w:rPr>
        <w:t>进行现场检查，现场送达了深圳市计量质量检测研究院出具的</w:t>
      </w:r>
      <w:r>
        <w:rPr>
          <w:rFonts w:hint="default" w:ascii="仿宋_GB2312" w:hAnsi="仿宋_GB2312" w:eastAsia="仿宋_GB2312" w:cs="仿宋_GB2312"/>
          <w:sz w:val="32"/>
          <w:szCs w:val="32"/>
          <w:lang w:val="en"/>
        </w:rPr>
        <w:t>No</w:t>
      </w: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lang w:val="en"/>
        </w:rPr>
        <w:t>××</w:t>
      </w:r>
      <w:r>
        <w:rPr>
          <w:rFonts w:hint="eastAsia" w:ascii="仿宋_GB2312" w:hAnsi="仿宋_GB2312" w:eastAsia="仿宋_GB2312" w:cs="仿宋_GB2312"/>
          <w:sz w:val="32"/>
          <w:szCs w:val="32"/>
        </w:rPr>
        <w:t>《检验报告》。现场发现申请人的仓库存有“</w:t>
      </w:r>
      <w:r>
        <w:rPr>
          <w:rFonts w:hint="default" w:ascii="仿宋_GB2312" w:hAnsi="仿宋_GB2312" w:eastAsia="仿宋_GB2312" w:cs="仿宋_GB2312"/>
          <w:sz w:val="32"/>
          <w:szCs w:val="32"/>
          <w:lang w:val="en"/>
        </w:rPr>
        <w:t>××</w:t>
      </w:r>
      <w:r>
        <w:rPr>
          <w:rFonts w:hint="eastAsia" w:ascii="仿宋_GB2312" w:hAnsi="仿宋_GB2312" w:eastAsia="仿宋_GB2312" w:cs="仿宋_GB2312"/>
          <w:sz w:val="32"/>
          <w:szCs w:val="32"/>
        </w:rPr>
        <w:t>养生酒”(条码：</w:t>
      </w:r>
      <w:r>
        <w:rPr>
          <w:rFonts w:hint="default" w:ascii="仿宋_GB2312" w:hAnsi="仿宋_GB2312" w:eastAsia="仿宋_GB2312" w:cs="仿宋_GB2312"/>
          <w:sz w:val="32"/>
          <w:szCs w:val="32"/>
          <w:lang w:val="en"/>
        </w:rPr>
        <w:t>××</w:t>
      </w:r>
      <w:r>
        <w:rPr>
          <w:rFonts w:hint="eastAsia" w:ascii="仿宋_GB2312" w:hAnsi="仿宋_GB2312" w:eastAsia="仿宋_GB2312" w:cs="仿宋_GB2312"/>
          <w:sz w:val="32"/>
          <w:szCs w:val="32"/>
        </w:rPr>
        <w:t>)1452盒。被申请人执法人员现场予以扣押，并于当日出具了深市监华强字〔2023〕</w:t>
      </w:r>
      <w:r>
        <w:rPr>
          <w:rFonts w:hint="default" w:ascii="仿宋_GB2312" w:hAnsi="仿宋_GB2312" w:eastAsia="仿宋_GB2312" w:cs="仿宋_GB2312"/>
          <w:sz w:val="32"/>
          <w:szCs w:val="32"/>
          <w:lang w:val="en"/>
        </w:rPr>
        <w:t>××</w:t>
      </w:r>
      <w:r>
        <w:rPr>
          <w:rFonts w:hint="eastAsia" w:ascii="仿宋_GB2312" w:hAnsi="仿宋_GB2312" w:eastAsia="仿宋_GB2312" w:cs="仿宋_GB2312"/>
          <w:sz w:val="32"/>
          <w:szCs w:val="32"/>
        </w:rPr>
        <w:t>号《实施行政强制措施决定书》,决定对上述产品实施扣押行政强制措施，期限为30日。决定书于同日通过直接送达的方式送达给申请人。鉴于情况紧急，被申请人行政执法人员在二十四小时内补办了批准手续。2023年12月21日，申请人就</w:t>
      </w:r>
      <w:r>
        <w:rPr>
          <w:rFonts w:hint="default" w:ascii="仿宋_GB2312" w:hAnsi="仿宋_GB2312" w:eastAsia="仿宋_GB2312" w:cs="仿宋_GB2312"/>
          <w:sz w:val="32"/>
          <w:szCs w:val="32"/>
          <w:lang w:val="en"/>
        </w:rPr>
        <w:t>No</w:t>
      </w: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lang w:val="en"/>
        </w:rPr>
        <w:t>××</w:t>
      </w:r>
      <w:r>
        <w:rPr>
          <w:rFonts w:hint="eastAsia" w:ascii="仿宋_GB2312" w:hAnsi="仿宋_GB2312" w:eastAsia="仿宋_GB2312" w:cs="仿宋_GB2312"/>
          <w:sz w:val="32"/>
          <w:szCs w:val="32"/>
        </w:rPr>
        <w:t>《检验报告》检测结果的公正性和公平性向申请人提出异议。2023年12月29日，因申请人经营非法添加丙氧苯基伐地那非的食品，涉嫌违反《中华人民共和国食品安全法(2021修正)》第三十四条第(一)项、第三十八条的规定，被申请人依据《市场监督管理行政处罚程序规定》第十九条第一款第(一)项的规定，进行立案调查。2024年1月2日，被申请人对申请人进行询问，申请人实际控制人</w:t>
      </w:r>
      <w:r>
        <w:rPr>
          <w:rFonts w:hint="eastAsia" w:ascii="仿宋_GB2312" w:hAnsi="仿宋_GB2312" w:eastAsia="仿宋_GB2312" w:cs="仿宋_GB2312"/>
          <w:sz w:val="32"/>
          <w:szCs w:val="32"/>
          <w:lang w:eastAsia="zh-CN"/>
        </w:rPr>
        <w:t>王某</w:t>
      </w:r>
      <w:r>
        <w:rPr>
          <w:rFonts w:hint="eastAsia" w:ascii="仿宋_GB2312" w:hAnsi="仿宋_GB2312" w:eastAsia="仿宋_GB2312" w:cs="仿宋_GB2312"/>
          <w:sz w:val="32"/>
          <w:szCs w:val="32"/>
        </w:rPr>
        <w:t>接受询问。询问笔录载明，申请人认可《委托加工协议书》约定的涉案养生酒为申请人委托惠州市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养生酒厂发展有限公司生产，申请人提供主要的原材料、半成品及包装材料。同时，涉案养生酒使用的原材料含有传统的补肾壮阳功效，因此宣传该功效。申请人向被申请人提供了涉案养生酒的销售记录、采购记录、检验报告、《委托加工协议书》、生产商的资质等材料。2024年1月19日，鉴于本案情况复杂，经负责人批准，被申请人作出深市监华延期字〔2024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号《延长行政强制措施决定书》,决定将该行政强制措施的期限延长至2024年2月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8日。2024年1月19日，被申请人认为申请人涉嫌生产销售添加有毒有害物质的食品，依据《中华人民共和国行政处罚法》第二十七条第一款、《行政执法机关移送涉嫌犯罪案件的规定》第三条等规定，将案件移送公安机关。2024年2月2日，深圳市公安局龙华分局作出深龙华公(龙城)扣字〔2024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号《扣押决定书》,对涉案养生酒决定扣押。因此，本案相关法律文书均已按照相关法律法规的规定送达当事人，被申请人作出的行政强制措施及延长行政强制措施决定程序合法。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被申请人作出的行政强制措施及延长行政强制措施决定事实认定清楚，证据确凿，适用依据正确，内容适当。(一)涉案养生酒中检测出的丙氧苯基伐地那非属于有毒、有害的非食品原料。《最高人民法院最高人民检察院关于办理危害食品安全刑事案件适用法律若干问题的解释(2021)》(法释(2021)24号)第九条规定，“下列物质应当认定为刑法第一百四十四条规定的‘有毒、有害的非食品原料’:(二)因危害人体健康，被国务院有关部门列入《食品中可能违法添加的非食用物质名单》《保健食品中可能非法添加的物质名单》和国务院有关部门公告的禁用农药、《食品动物中禁止使用的药品及其他化合物清单》等名单上的物质。”《关于发布保健食品中可能非法添加的物质名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第一批)的通知》(食药监办保化[2012]33号)载明，伐地那非等PDE5型(磷酸二酯酶5型)抑制剂属于保健食品中可能非法添加的物质。《市场监管总局办公厅关于打击食品中非法添加那非拉非类物质及其系列衍生物违法行为的意见》(市监稽发〔2022〕74号)之附件2《苯丙代卡巴地那非，那非、拉非类物质及其系列衍生物有毒有害专家认定意见》载明：“那非、拉非类物质及其系列衍生物，与‘有毒、有害的非食品原料’那红地那非、红地那非、伐地那非、羟基豪莫西地那非、西地那非、豪莫西地那非、氨基他达拉非、他达拉非、硫代艾地那非、伪伐地那非和那莫西地那非等核心药效团一致，具有等同属性和等同危害，食用添加有那非、拉非类物质及其衍生物的食品对人体有毒副作用的风险，影响人体健康甚至危害生命。”根据上述规定，那非、拉非类物质及其系列衍生物均是有毒、有害的非食品原料，丙氧苯基伐地那非属于那非、拉非类物质及其系列衍生物，即为有毒、有害的非食品原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(二)申请人存在生产销售添加食品添加剂以外的化学物质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和其他可能危害人体健康物质食品的违法行为。《中华人民共和国食品安全法(2021修正)》第三十四条第</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一)项规定：“禁止生产经营下列食品、食品添加剂、食品相关产品：(一)用非食品原料生产的食品或者添加食品添加剂以外的化学物质和其他可能危害人体健康物质的食品，或者用回收食品作为原料生产的食品。”第三十八条规定：“生产经营的食品中不得添加药品，但是可以添加按照传统既是食品又是中药材的物质。按照传统既是食品又是中药材的物质目录由国务院卫生行政部门会同国务院食品安全监督管理部门制定、公布。”本案中，被申请人根据举报线索对申请人销售的“</w:t>
      </w:r>
      <w:r>
        <w:rPr>
          <w:rFonts w:hint="default" w:ascii="仿宋_GB2312" w:hAnsi="仿宋_GB2312" w:eastAsia="仿宋_GB2312" w:cs="仿宋_GB2312"/>
          <w:sz w:val="32"/>
          <w:szCs w:val="32"/>
          <w:lang w:val="en"/>
        </w:rPr>
        <w:t>××</w:t>
      </w:r>
      <w:r>
        <w:rPr>
          <w:rFonts w:hint="eastAsia" w:ascii="仿宋_GB2312" w:hAnsi="仿宋_GB2312" w:eastAsia="仿宋_GB2312" w:cs="仿宋_GB2312"/>
          <w:sz w:val="32"/>
          <w:szCs w:val="32"/>
        </w:rPr>
        <w:t>养生酒(露酒)”进行执法抽查。经检测，涉案养生酒中丙氧苯基伐地那非的实测值为374mg/L。同时，举报人提供的长沙市望城区市场监督管理局委托陕西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标准技术服务有限公司出具的涉案食品检测报告，亦检出该物质。且涉案养生酒食品生产许可证许可的食品类别为酒类，不得添加药品或其他化学物质、非食品原料。此外，被申请人通过询问调查、书证提取、现场取证等证据证实，申请人委托惠州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养生酒厂发展有限公司生产涉案养生酒，由申请人提供原材料、半成品及包装材料，并确保原材料、半成品达标、安全。原材料、半成品不达标的由申请人负责。故丙氧苯基伐地那非属于化学物质，非食品原料或食品添加剂，禁止在食品中添加，申请人的行为违反了上述规定。关于申请人不认可检测报告效力的异议。被申请人认为：其一，关于检测标准的问题。《食品安全抽样检验管理办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(2022修订)》第二十三条规定：“食品安全监督抽检应当采用食品安全标准规定的检验项目和检验方法。没有食品安全标准的应当采用依照法律法规制定的临时限量值、临时检验方法或者补充检验方法。风险监测、案件稽查、事故调查、应急处置等工作中，在没有前款规定的检验方法的情况下，可以采用其他检验方法分析查找食品安全问题的原因。所采用的方法应当遵循技术手段先进的原则，并取得国家或者省级市场监督管理部门同意。”又《市场监管总局办公厅关于&lt;食品中双丙酚汀的测定方法&gt;等3个测定方法可用于食品安全案件查办的通知》(市监稽发〔2023)95号)规定“……《食品中伐地那非杂质30的测定方法》(附件2)……可用于在案件办理工作中查找食品安全问题原因，检验结论可作为定罪量刑的参考。”而附件2《食品中伐地那非杂质30的测定方法》规定，“方法一高效液相色谱一三重四极杆串联质谱法，适用于液体饮料、果冻、蛋白固体饮料、饼干、糖果、酒类及咖啡等食品(含保健食品)及保健食品的片剂、胶囊、软胶囊等剂型中伐地那非杂质30的定性和定量测定。”本案从对象上看，涉案“</w:t>
      </w:r>
      <w:r>
        <w:rPr>
          <w:rFonts w:hint="default" w:ascii="仿宋_GB2312" w:hAnsi="仿宋_GB2312" w:eastAsia="仿宋_GB2312" w:cs="仿宋_GB2312"/>
          <w:sz w:val="32"/>
          <w:szCs w:val="32"/>
          <w:lang w:val="en"/>
        </w:rPr>
        <w:t>××</w:t>
      </w:r>
      <w:r>
        <w:rPr>
          <w:rFonts w:hint="eastAsia" w:ascii="仿宋_GB2312" w:hAnsi="仿宋_GB2312" w:eastAsia="仿宋_GB2312" w:cs="仿宋_GB2312"/>
          <w:sz w:val="32"/>
          <w:szCs w:val="32"/>
        </w:rPr>
        <w:t>养生酒(露酒)”属于酒类，符合检测方法一规定的检测对象。从检测方式上看，本案检测报告属于食品安全风险监测检验报告，目前并没有针对丙氧苯基伐地那的食品安全标准规定的检验项目和检验方法，采用市场监管总局规定的高效液相色谱一三重四极杆串联质谱法对丙氧苯基伐地那非进行检测，并无不当。另外，市监稽发(2023)95号文的性质为依申请公开，并非内部文件，申请人主张无事实依据和法律依据。其二，关于深圳市计量质量检测研究院出具的检测报告无CMA认证标志、未留样、无参考值等问题。《食品安全抽样检验管理办法(2022修订)》第十六条规定：“风险监测、案件稽查、事故调查、应急处置中的抽样，不受抽样数量、抽样地点、被抽样单位是否具备合法资质等限制。”第五十二条规定：“本办法所称监督抽检是指市场监督管理部门按照法定程序和食品安全标准等规定，以排查风险为目的，对食品组织的抽样、检验、复检、处理等活动。本办法所称风险监测是指市场监督管理部门对没有食品安全标准的风险因素，开展监测、分析、处理的活动。”鉴于目前那非拉非物质衍生物形式多样，对现行已知那非拉非物质的化学结构进行简单改变，就可以形成功效与已知物质等同，但在化学认定上属于全新的物质。目前并没有针对丙氧苯基伐地那的食品安全标准规定的检验项目和检验方法，仅能采用市场监管总局规定的检验方法，客观上无法出具具有CMA认证标志的检测报告。且检测报告为风险监测检验报告，仅表明检测出丙氧苯基伐地那非的实测值，并未对涉案养生酒作出是否合格的检验结论。故检测报告是否具有CMA认证标志、是否留样、是否有参考值并不影响检测结果的认定。申请人称提供了涉案养生酒的《检验报告》,虽然检测结果为合格，但并未对涉案养生酒中是否含有丙氧苯基伐地那非这一物质进行认定。故申请人的主张不具有事实基础和法律依据，被申请人对申请人针对检测报告提出的异议不予认可。因此，被申请人认定申请人存在生产销售添加食品添加剂以外的化学物质和其他可能危害人体健康物质食品的违法行为，违反了《中华人民共和国食品安全法(2021修正)》第三十四条第(一)项、第三十八条的规定，并无不当。</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被申请人决定对涉案养生酒采取扣押行政强制措施及延长行政强制措施，并无不当。《中华人民共和国食品安全法(2021修正)》第一百一十条第一款第(四)项的规定：“县级以上人民政府食品安全监督管理部门履行食品安全监督管理职责，有权采取下列措施，对生产经营者遵守本法的情况进行监督检查：(四)查封、扣押有证据证明不符合食品安全标准或者有证据证明存在安全隐患以及用于违法生产经营的食品、食品添加剂、食品相关产品；”《中华人民共和国行政强制法》第二条第二款规定“行政强制措施，是指行政机关在行政管理过程中，为制止违法行为、防止证据损毁、避免危害发生、控制危险扩大等情形，依法对公民的人身自由实施暂时性限制，或者对公民、法人或者其他组织的财物实施暂时性控制的行为。”根据上述分析，被申请人有证据证明申请人销售存在安全隐患以及用于违法生产经营的食品，且在执法人员检查时，仍在销售中。基于此，为制止违法行为，2023年12月20日，被申请人作出《实施行政强制措施决定书》,对涉案养生酒采取扣押行政强制措施。2024年1月19日，被申请人作出《延长行政强制措施期限决定书》,将扣押行政强制措施的期限延长2024年2月</w:t>
      </w:r>
      <w:r>
        <w:rPr>
          <w:rFonts w:hint="default" w:ascii="仿宋_GB2312" w:hAnsi="仿宋_GB2312" w:eastAsia="仿宋_GB2312" w:cs="仿宋_GB2312"/>
          <w:sz w:val="32"/>
          <w:szCs w:val="32"/>
          <w:lang w:val="en"/>
        </w:rPr>
        <w:t>1</w:t>
      </w:r>
      <w:r>
        <w:rPr>
          <w:rFonts w:hint="eastAsia" w:ascii="仿宋_GB2312" w:hAnsi="仿宋_GB2312" w:eastAsia="仿宋_GB2312" w:cs="仿宋_GB2312"/>
          <w:sz w:val="32"/>
          <w:szCs w:val="32"/>
        </w:rPr>
        <w:t>8日，具有事实和法律依据，并无不当。</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另外，《中华人民共和国行政处罚法》第二十七条第一款规定：“违法行为涉嫌犯罪的，行政机关应当及时将案件移送司法机关，依法追究刑事责任。”《中华人民共和国食品安全法(2021修正)》第一百二十一条第一款规定：“县级以上人民政府食品安全监督管理等部门发现涉嫌食品安全犯罪的，应当按照有关规定及时将案件移送公安机关。”《行政执法机关移送涉嫌犯罪案件的规定(2020修订)》第三条第一款规定：“行政执法机关在依法查处违法行为过程中，发现违法事实涉及的金额、违法事实的情节、违法事实造成的后果等，根据刑法关于破坏社会主义市场经济秩序罪、妨害社会管理秩序罪等罪的规定和最高人民法院、最高人民检察院关于破坏社会主义市场经济秩序罪、妨害社会管理秩序罪等罪的司法解释以及最高人民检察院、公安部关于经济犯罪案件的追诉标准等规定，涉嫌构成犯罪，依法需要追究刑事责任的，必须依照本规定向公安机关移送。”《中华人民共和国刑法》第一百四十四条【生产、销售有毒、有害食品罪】规定：“在生产、销售的食品中掺入有毒、有害的非食品原料的，或者销售明知掺有有毒、有害的非食品原料的食品的，处五年以下有期徒刑，并处罚金；对人体健康造成严重危害或者有其他严重情节的，处五年以上十年以下有期徒刑，并处罚金；致人死亡或者有其他特别严重情节的，依照本法第一百四十一条的规定处罚。”鉴于本案违法事实涉及的金额、违法事实的情节、违法事实造成的后果涉嫌构成生产、销售有毒、有害食品罪，被申请人将本案移送至深圳市公安局龙华分局符合上述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仿宋_GB2312" w:hAnsi="仿宋_GB2312" w:eastAsia="仿宋_GB2312" w:cs="仿宋_GB2312"/>
          <w:sz w:val="32"/>
          <w:szCs w:val="32"/>
        </w:rPr>
        <w:t>综上所述，被申请人作出的行政强制措施及延长行政强制措施决定事实清楚，程序合法，符合法律、法规的规定，申请人的主张无事实和法律依据，请求复议机关依法予以维持。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黑体" w:hAnsi="黑体" w:eastAsia="黑体"/>
          <w:sz w:val="32"/>
          <w:szCs w:val="32"/>
        </w:rPr>
        <w:t>经查：</w:t>
      </w:r>
      <w:r>
        <w:rPr>
          <w:rFonts w:hint="eastAsia" w:ascii="仿宋_GB2312" w:hAnsi="仿宋_GB2312" w:eastAsia="仿宋_GB2312" w:cs="仿宋_GB2312"/>
          <w:sz w:val="32"/>
          <w:szCs w:val="32"/>
          <w:lang w:val="en-US" w:eastAsia="zh-CN"/>
        </w:rPr>
        <w:t>2023年11月25日，张某向被申请人举报申请人，称××平台</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sz w:val="32"/>
          <w:szCs w:val="32"/>
          <w:lang w:val="en-US" w:eastAsia="zh-CN"/>
        </w:rPr>
        <w:t>健康养生产品店销售的</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sz w:val="32"/>
          <w:szCs w:val="32"/>
          <w:lang w:val="en-US" w:eastAsia="zh-CN"/>
        </w:rPr>
        <w:t>养生酒，经长沙市望城区市场监督管理局委托送检，检测出O-丙基伐地那非，主张涉案食品添加化学物质非食品原料的行为违反《中华人民共和国食品安全法》第三十四条、第三十八条等规定，并主张申请人存在虚假宣传等违法行为，请求移送公安机关、退货赔偿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受深圳市市场监督管理局委托，深圳市计量质量检测研究院2023年12月8日到申请人处对“</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sz w:val="32"/>
          <w:szCs w:val="32"/>
          <w:lang w:val="en-US" w:eastAsia="zh-CN"/>
        </w:rPr>
        <w:t>养生酒（露酒）”（条形码：</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sz w:val="32"/>
          <w:szCs w:val="32"/>
          <w:lang w:val="en-US" w:eastAsia="zh-CN"/>
        </w:rPr>
        <w:t>，生产日期：2023年6月7日）进行抽样检查。2023年12月15日，深圳市计量质量检测研究院签发《食品安全风险监测检验报告》（</w:t>
      </w:r>
      <w:r>
        <w:rPr>
          <w:rFonts w:hint="default" w:ascii="仿宋_GB2312" w:hAnsi="仿宋_GB2312" w:eastAsia="仿宋_GB2312" w:cs="仿宋_GB2312"/>
          <w:sz w:val="32"/>
          <w:szCs w:val="32"/>
          <w:lang w:val="en" w:eastAsia="zh-CN"/>
        </w:rPr>
        <w:t>No</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sz w:val="32"/>
          <w:szCs w:val="32"/>
          <w:lang w:val="en-US" w:eastAsia="zh-CN"/>
        </w:rPr>
        <w:t>），报告内容为：依据《市场监管总局办公厅关于&lt;食品中双丙酚汀的测定方法&gt;等3个测定方法可用于食品安全案件查办的通知》（市监稽发[2023]95号）附件2《食品中伐地那非杂质30的测定方法》方法一测出丙氧苯基伐地那非374mg/L。</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2023年12月20日，被申请人向申请人送达检验报告,并对申请人进行现场检查，检查申请人的仓库，发现存放有“</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sz w:val="32"/>
          <w:szCs w:val="32"/>
          <w:lang w:val="en-US" w:eastAsia="zh-CN"/>
        </w:rPr>
        <w:t>养生酒”（条码：</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sz w:val="32"/>
          <w:szCs w:val="32"/>
          <w:lang w:val="en-US" w:eastAsia="zh-CN"/>
        </w:rPr>
        <w:t>）1452盒。现场负责人称现场发现的产品是申请人委托惠州市××养生酒厂发展有限公司生产，存放的产品均为2023年6月7日生产。被申请人制作现场笔录，并提取现场照片。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2023年12月20日，被申请人认为申请人涉嫌销售检验不合格的食品，依据《中华人民共和国食品安全法》第一百一十条第一款第（四）项决定扣押涉案1452盒“</w:t>
      </w:r>
      <w:r>
        <w:rPr>
          <w:rFonts w:hint="default" w:ascii="仿宋_GB2312" w:hAnsi="仿宋_GB2312" w:eastAsia="仿宋_GB2312" w:cs="仿宋_GB2312"/>
          <w:sz w:val="32"/>
          <w:szCs w:val="32"/>
          <w:lang w:val="en" w:eastAsia="zh-CN"/>
        </w:rPr>
        <w:t>××</w:t>
      </w:r>
      <w:r>
        <w:rPr>
          <w:rFonts w:hint="eastAsia" w:ascii="仿宋_GB2312" w:hAnsi="仿宋_GB2312" w:eastAsia="仿宋_GB2312" w:cs="仿宋_GB2312"/>
          <w:sz w:val="32"/>
          <w:szCs w:val="32"/>
          <w:lang w:val="en-US" w:eastAsia="zh-CN"/>
        </w:rPr>
        <w:t>养生酒（露酒）”30日。2023年12月21日，现场执法人员向被申请人负责人报告，并补办实施行政强制措施批准手续。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2023年12月21日，申请人向被申请人提出异议书，主张不服深圳市计量质量检测研究院出具的检验报告。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2023年12月29日，被申请人以申请人涉嫌违反《中华人民共和国食品安全法》第三十四条第（一）项规定为由，决定立案调查。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2024年1月2日，被申请人对申请人的委托代理人王某进行询问调查，王某同时向被申请人提交《委托加工协议书》、销售记录等材料。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lang w:val="en" w:eastAsia="zh-CN"/>
        </w:rPr>
      </w:pPr>
      <w:r>
        <w:rPr>
          <w:rFonts w:hint="default" w:ascii="仿宋_GB2312" w:hAnsi="仿宋_GB2312" w:eastAsia="仿宋_GB2312" w:cs="仿宋_GB2312"/>
          <w:sz w:val="32"/>
          <w:szCs w:val="32"/>
          <w:lang w:val="en-US" w:eastAsia="zh-CN"/>
        </w:rPr>
        <w:t>2024年1月19日，被申请人作出</w:t>
      </w:r>
      <w:r>
        <w:rPr>
          <w:rFonts w:hint="eastAsia" w:ascii="仿宋_GB2312" w:hAnsi="仿宋_GB2312" w:eastAsia="仿宋_GB2312" w:cs="仿宋_GB2312"/>
          <w:sz w:val="32"/>
          <w:szCs w:val="32"/>
          <w:lang w:val="en-US" w:eastAsia="zh-CN"/>
        </w:rPr>
        <w:t>并</w:t>
      </w:r>
      <w:r>
        <w:rPr>
          <w:rFonts w:hint="default" w:ascii="仿宋_GB2312" w:hAnsi="仿宋_GB2312" w:eastAsia="仿宋_GB2312" w:cs="仿宋_GB2312"/>
          <w:sz w:val="32"/>
          <w:szCs w:val="32"/>
          <w:lang w:val="en-US" w:eastAsia="zh-CN"/>
        </w:rPr>
        <w:t>送达深市监华延期字〔2024〕</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号《延长行政强制措施决定书》</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依据《中华人民共和国行政强制法》第二十五条</w:t>
      </w:r>
      <w:r>
        <w:rPr>
          <w:rFonts w:hint="eastAsia" w:ascii="仿宋_GB2312" w:hAnsi="仿宋_GB2312" w:eastAsia="仿宋_GB2312" w:cs="仿宋_GB2312"/>
          <w:sz w:val="32"/>
          <w:szCs w:val="32"/>
          <w:lang w:val="en-US" w:eastAsia="zh-CN"/>
        </w:rPr>
        <w:t>第一款、第二款</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决定将行政强制措施的期限延长至2024年2月18日。申请人不服该决定，于2024年2月20日向本机关提出行政复议申请，本机关于2024年2月26日受理行政复议申请。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黑体" w:hAnsi="黑体" w:eastAsia="黑体" w:cs="黑体"/>
          <w:sz w:val="32"/>
          <w:szCs w:val="32"/>
          <w:lang w:val="en" w:eastAsia="zh-CN"/>
        </w:rPr>
        <w:t>另查：</w:t>
      </w:r>
      <w:r>
        <w:rPr>
          <w:rFonts w:hint="default" w:ascii="仿宋_GB2312" w:hAnsi="仿宋_GB2312" w:eastAsia="仿宋_GB2312" w:cs="仿宋_GB2312"/>
          <w:sz w:val="32"/>
          <w:szCs w:val="32"/>
          <w:lang w:val="en" w:eastAsia="zh-CN"/>
        </w:rPr>
        <w:t>2024</w:t>
      </w:r>
      <w:r>
        <w:rPr>
          <w:rFonts w:hint="eastAsia" w:ascii="仿宋_GB2312" w:hAnsi="仿宋_GB2312" w:eastAsia="仿宋_GB2312" w:cs="仿宋_GB2312"/>
          <w:sz w:val="32"/>
          <w:szCs w:val="32"/>
          <w:lang w:val="en" w:eastAsia="zh-CN"/>
        </w:rPr>
        <w:t>年</w:t>
      </w:r>
      <w:r>
        <w:rPr>
          <w:rFonts w:hint="eastAsia" w:ascii="仿宋_GB2312" w:hAnsi="仿宋_GB2312" w:eastAsia="仿宋_GB2312" w:cs="仿宋_GB2312"/>
          <w:sz w:val="32"/>
          <w:szCs w:val="32"/>
          <w:lang w:val="en-US" w:eastAsia="zh-CN"/>
        </w:rPr>
        <w:t>1月19日，被申请人认为申请人涉嫌构成生产、销售有毒、有害食品罪，决定将案件移送公安机关处理。</w:t>
      </w:r>
      <w:r>
        <w:rPr>
          <w:rFonts w:hint="default" w:ascii="仿宋_GB2312" w:hAnsi="仿宋_GB2312" w:eastAsia="仿宋_GB2312" w:cs="仿宋_GB2312"/>
          <w:sz w:val="32"/>
          <w:szCs w:val="32"/>
          <w:lang w:val="en-US" w:eastAsia="zh-CN"/>
        </w:rPr>
        <w:t>被申请人作出深市监华涉罪移〔2024〕龙华</w:t>
      </w:r>
      <w:r>
        <w:rPr>
          <w:rFonts w:hint="eastAsia" w:ascii="仿宋_GB2312" w:hAnsi="仿宋_GB2312" w:eastAsia="仿宋_GB2312" w:cs="仿宋_GB2312"/>
        </w:rPr>
        <w:t>××</w:t>
      </w:r>
      <w:r>
        <w:rPr>
          <w:rFonts w:hint="default" w:ascii="仿宋_GB2312" w:hAnsi="仿宋_GB2312" w:eastAsia="仿宋_GB2312" w:cs="仿宋_GB2312"/>
          <w:sz w:val="32"/>
          <w:szCs w:val="32"/>
          <w:lang w:val="en-US" w:eastAsia="zh-CN"/>
        </w:rPr>
        <w:t>号《涉嫌犯罪案件移送书》，将“</w:t>
      </w:r>
      <w:r>
        <w:rPr>
          <w:rFonts w:hint="default" w:ascii="仿宋_GB2312" w:hAnsi="仿宋_GB2312" w:eastAsia="仿宋_GB2312" w:cs="仿宋_GB2312"/>
          <w:sz w:val="32"/>
          <w:szCs w:val="32"/>
          <w:lang w:val="en" w:eastAsia="zh-CN"/>
        </w:rPr>
        <w:t>××</w:t>
      </w:r>
      <w:r>
        <w:rPr>
          <w:rFonts w:hint="default" w:ascii="仿宋_GB2312" w:hAnsi="仿宋_GB2312" w:eastAsia="仿宋_GB2312" w:cs="仿宋_GB2312"/>
          <w:sz w:val="32"/>
          <w:szCs w:val="32"/>
          <w:lang w:val="en-US" w:eastAsia="zh-CN"/>
        </w:rPr>
        <w:t>养生酒（露酒）”等移送深圳市公安局龙华分局。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2024年2月2日，深圳市公安局龙华分局作出深龙华公（龙城）扣字〔2024〕</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号《扣押决定书》，决定扣押涉案1452盒“</w:t>
      </w:r>
      <w:r>
        <w:rPr>
          <w:rFonts w:hint="default" w:ascii="仿宋_GB2312" w:hAnsi="仿宋_GB2312" w:eastAsia="仿宋_GB2312" w:cs="仿宋_GB2312"/>
          <w:sz w:val="32"/>
          <w:szCs w:val="32"/>
          <w:lang w:val="en" w:eastAsia="zh-CN"/>
        </w:rPr>
        <w:t>××</w:t>
      </w:r>
      <w:r>
        <w:rPr>
          <w:rFonts w:hint="default" w:ascii="仿宋_GB2312" w:hAnsi="仿宋_GB2312" w:eastAsia="仿宋_GB2312" w:cs="仿宋_GB2312"/>
          <w:sz w:val="32"/>
          <w:szCs w:val="32"/>
          <w:lang w:val="en-US" w:eastAsia="zh-CN"/>
        </w:rPr>
        <w:t>养生酒（露酒）”。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黑体" w:hAnsi="黑体" w:eastAsia="黑体"/>
          <w:sz w:val="32"/>
          <w:szCs w:val="32"/>
        </w:rPr>
        <w:t>本机关认为：</w:t>
      </w:r>
      <w:r>
        <w:rPr>
          <w:rFonts w:hint="eastAsia" w:ascii="仿宋_GB2312" w:hAnsi="仿宋_GB2312" w:eastAsia="仿宋_GB2312" w:cs="仿宋_GB2312"/>
          <w:sz w:val="32"/>
          <w:szCs w:val="32"/>
        </w:rPr>
        <w:t>《中华人民共和国食品安全法》第一百一十条第四项规定：“县级以上人民政府食品安全监督管理部门履行食品安全监督管理职责，有权采取下列措施，对生产经营者遵守本法的情况进行监督检查……（四）查封、扣押有证据证明不符合食品安全标准或者有证据证明存在安全隐患以及用于违法生产经营的食品、食品添加剂、食品相关产品……”《中华人民共和国行政强制法》第二十一条规定：“违法行为涉嫌犯罪应当移送司法机关的，行政机关应当将查封、扣押、冻结的财物一并移送，并书面告知当事人。”第二十五条第一款、第二款规定：“查封、扣押的期限不得超过三十日；情况复杂的，经行政机关负责人批准，可以延长，但是延长期限不得超过三十日。法律、行政法规另有规定的除外。”“延长查封、扣押的决定应当及时书面告知当事人，并说明理由。”第二十七条规定：“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r>
        <w:rPr>
          <w:rFonts w:hint="eastAsia" w:ascii="仿宋_GB2312" w:hAnsi="仿宋_GB2312" w:eastAsia="仿宋_GB2312" w:cs="仿宋_GB2312"/>
          <w:sz w:val="32"/>
          <w:szCs w:val="32"/>
          <w:lang w:eastAsia="zh-CN"/>
        </w:rPr>
        <w:t>根据上述规定，被申请人可以依法扣押</w:t>
      </w:r>
      <w:r>
        <w:rPr>
          <w:rFonts w:hint="eastAsia" w:ascii="仿宋_GB2312" w:hAnsi="仿宋_GB2312" w:eastAsia="仿宋_GB2312" w:cs="仿宋_GB2312"/>
          <w:sz w:val="32"/>
          <w:szCs w:val="32"/>
        </w:rPr>
        <w:t>存在安全隐患</w:t>
      </w:r>
      <w:r>
        <w:rPr>
          <w:rFonts w:hint="eastAsia" w:ascii="仿宋_GB2312" w:hAnsi="仿宋_GB2312" w:eastAsia="仿宋_GB2312" w:cs="仿宋_GB2312"/>
          <w:sz w:val="32"/>
          <w:szCs w:val="32"/>
          <w:lang w:eastAsia="zh-CN"/>
        </w:rPr>
        <w:t>的食品，但被申请人应在扣押期限内依法作出处理。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本案，经抽样检测</w:t>
      </w:r>
      <w:r>
        <w:rPr>
          <w:rFonts w:hint="eastAsia" w:ascii="仿宋_GB2312" w:hAnsi="仿宋_GB2312" w:eastAsia="仿宋_GB2312" w:cs="仿宋_GB2312"/>
          <w:sz w:val="32"/>
          <w:szCs w:val="32"/>
          <w:lang w:val="en-US" w:eastAsia="zh-CN"/>
        </w:rPr>
        <w:t>，测出</w:t>
      </w:r>
      <w:r>
        <w:rPr>
          <w:rFonts w:hint="default"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 w:eastAsia="zh-CN"/>
        </w:rPr>
        <w:t>××</w:t>
      </w:r>
      <w:r>
        <w:rPr>
          <w:rFonts w:hint="default" w:ascii="仿宋_GB2312" w:hAnsi="仿宋_GB2312" w:eastAsia="仿宋_GB2312" w:cs="仿宋_GB2312"/>
          <w:sz w:val="32"/>
          <w:szCs w:val="32"/>
          <w:lang w:val="en-US" w:eastAsia="zh-CN"/>
        </w:rPr>
        <w:t>养生酒（露酒）”</w:t>
      </w:r>
      <w:r>
        <w:rPr>
          <w:rFonts w:hint="eastAsia" w:ascii="仿宋_GB2312" w:hAnsi="仿宋_GB2312" w:eastAsia="仿宋_GB2312" w:cs="仿宋_GB2312"/>
          <w:sz w:val="32"/>
          <w:szCs w:val="32"/>
          <w:lang w:val="en-US" w:eastAsia="zh-CN"/>
        </w:rPr>
        <w:t>含有丙氧苯基伐地那非，</w:t>
      </w:r>
      <w:r>
        <w:rPr>
          <w:rFonts w:hint="eastAsia" w:ascii="仿宋_GB2312" w:hAnsi="仿宋_GB2312" w:eastAsia="仿宋_GB2312" w:cs="仿宋_GB2312"/>
          <w:sz w:val="32"/>
          <w:szCs w:val="32"/>
        </w:rPr>
        <w:t>那非类物质及其衍生物</w:t>
      </w:r>
      <w:r>
        <w:rPr>
          <w:rFonts w:hint="eastAsia" w:ascii="仿宋_GB2312" w:hAnsi="仿宋_GB2312" w:eastAsia="仿宋_GB2312" w:cs="仿宋_GB2312"/>
          <w:sz w:val="32"/>
          <w:szCs w:val="32"/>
          <w:lang w:eastAsia="zh-CN"/>
        </w:rPr>
        <w:t>属</w:t>
      </w:r>
      <w:r>
        <w:rPr>
          <w:rFonts w:hint="eastAsia" w:ascii="仿宋_GB2312" w:hAnsi="仿宋_GB2312" w:eastAsia="仿宋_GB2312" w:cs="仿宋_GB2312"/>
          <w:sz w:val="32"/>
          <w:szCs w:val="32"/>
        </w:rPr>
        <w:t>有毒、有害的非食品原料</w:t>
      </w:r>
      <w:r>
        <w:rPr>
          <w:rFonts w:hint="eastAsia" w:ascii="仿宋_GB2312" w:hAnsi="仿宋_GB2312" w:eastAsia="仿宋_GB2312" w:cs="仿宋_GB2312"/>
          <w:sz w:val="32"/>
          <w:szCs w:val="32"/>
          <w:lang w:eastAsia="zh-CN"/>
        </w:rPr>
        <w:t>，故被申请人依法扣押申请人库存的</w:t>
      </w:r>
      <w:r>
        <w:rPr>
          <w:rFonts w:hint="default" w:ascii="仿宋_GB2312" w:hAnsi="仿宋_GB2312" w:eastAsia="仿宋_GB2312" w:cs="仿宋_GB2312"/>
          <w:sz w:val="32"/>
          <w:szCs w:val="32"/>
          <w:lang w:val="en-US" w:eastAsia="zh-CN"/>
        </w:rPr>
        <w:t>1452盒“</w:t>
      </w:r>
      <w:r>
        <w:rPr>
          <w:rFonts w:hint="default" w:ascii="仿宋_GB2312" w:hAnsi="仿宋_GB2312" w:eastAsia="仿宋_GB2312" w:cs="仿宋_GB2312"/>
          <w:sz w:val="32"/>
          <w:szCs w:val="32"/>
          <w:lang w:val="en" w:eastAsia="zh-CN"/>
        </w:rPr>
        <w:t>××</w:t>
      </w:r>
      <w:r>
        <w:rPr>
          <w:rFonts w:hint="default" w:ascii="仿宋_GB2312" w:hAnsi="仿宋_GB2312" w:eastAsia="仿宋_GB2312" w:cs="仿宋_GB2312"/>
          <w:sz w:val="32"/>
          <w:szCs w:val="32"/>
          <w:lang w:val="en-US" w:eastAsia="zh-CN"/>
        </w:rPr>
        <w:t>养生酒（露酒）”</w:t>
      </w:r>
      <w:r>
        <w:rPr>
          <w:rFonts w:hint="eastAsia" w:ascii="仿宋_GB2312" w:hAnsi="仿宋_GB2312" w:eastAsia="仿宋_GB2312" w:cs="仿宋_GB2312"/>
          <w:sz w:val="32"/>
          <w:szCs w:val="32"/>
          <w:lang w:val="en-US" w:eastAsia="zh-CN"/>
        </w:rPr>
        <w:t>。经被申请人负责人批准决定延长扣押期限，在法定期限内作出移送公安机关处理的决定，并将被扣押的物品移送公安机关，符合上述规定，依法应予支持。但被申请人未将移送情况依法书面通知申请人，违反</w:t>
      </w:r>
      <w:r>
        <w:rPr>
          <w:rFonts w:hint="eastAsia" w:ascii="仿宋_GB2312" w:hAnsi="仿宋_GB2312" w:eastAsia="仿宋_GB2312" w:cs="仿宋_GB2312"/>
          <w:sz w:val="32"/>
          <w:szCs w:val="32"/>
        </w:rPr>
        <w:t>《中华人民共和国行政强制法》第二十一条</w:t>
      </w:r>
      <w:r>
        <w:rPr>
          <w:rFonts w:hint="eastAsia" w:ascii="仿宋_GB2312" w:hAnsi="仿宋_GB2312" w:eastAsia="仿宋_GB2312" w:cs="仿宋_GB2312"/>
          <w:sz w:val="32"/>
          <w:szCs w:val="32"/>
          <w:lang w:eastAsia="zh-CN"/>
        </w:rPr>
        <w:t>的规定，鉴于</w:t>
      </w:r>
      <w:r>
        <w:rPr>
          <w:rFonts w:hint="eastAsia" w:ascii="仿宋_GB2312" w:hAnsi="仿宋_GB2312" w:eastAsia="仿宋_GB2312" w:cs="仿宋_GB2312"/>
          <w:sz w:val="32"/>
          <w:szCs w:val="32"/>
          <w:lang w:val="en-US" w:eastAsia="zh-CN"/>
        </w:rPr>
        <w:t>申请人可通过本复议决定知悉被申请人已将扣押物品移送公安机关处理的行为，已无必要再责令被申请人履行书面告知职责。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综上，</w:t>
      </w:r>
      <w:r>
        <w:rPr>
          <w:rFonts w:hint="eastAsia" w:ascii="仿宋_GB2312" w:hAnsi="仿宋_GB2312" w:eastAsia="仿宋_GB2312" w:cs="仿宋_GB2312"/>
          <w:sz w:val="32"/>
          <w:szCs w:val="32"/>
        </w:rPr>
        <w:t>依照《中华人民共和国行政复议法》第</w:t>
      </w:r>
      <w:r>
        <w:rPr>
          <w:rFonts w:hint="eastAsia" w:ascii="仿宋_GB2312" w:hAnsi="仿宋_GB2312" w:eastAsia="仿宋_GB2312" w:cs="仿宋_GB2312"/>
          <w:sz w:val="32"/>
          <w:szCs w:val="32"/>
          <w:lang w:eastAsia="zh-CN"/>
        </w:rPr>
        <w:t>六十五条第二款第（三）项的</w:t>
      </w:r>
      <w:r>
        <w:rPr>
          <w:rFonts w:hint="eastAsia" w:ascii="仿宋_GB2312" w:hAnsi="仿宋_GB2312" w:eastAsia="仿宋_GB2312" w:cs="仿宋_GB2312"/>
          <w:sz w:val="32"/>
          <w:szCs w:val="32"/>
        </w:rPr>
        <w:t>规定，本机关作出复议决定如下：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确认被申请人深圳市市场监督管理局龙华监管局向有关机关移送扣押财物时未书面告知申请人违法。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本复议决定书一经送达，即发生法律效力。申请人如对本复议决定不服，可自收到本复议决定书之日起十五日内依法向有管辖权的人民法院提起诉讼。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深圳市人民政府</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eastAsia="仿宋_GB2312"/>
          <w:lang w:eastAsia="zh-CN"/>
        </w:rPr>
      </w:pPr>
      <w:r>
        <w:rPr>
          <w:rFonts w:hint="eastAsia" w:ascii="仿宋_GB2312" w:hAnsi="仿宋_GB2312" w:eastAsia="仿宋_GB2312"/>
          <w:color w:val="000000"/>
          <w:sz w:val="32"/>
          <w:szCs w:val="32"/>
          <w:lang w:val="en-US" w:eastAsia="zh-CN"/>
        </w:rPr>
        <w:t xml:space="preserve">                             2024</w:t>
      </w:r>
      <w:r>
        <w:rPr>
          <w:rFonts w:ascii="仿宋_GB2312" w:hAnsi="仿宋_GB2312" w:eastAsia="仿宋_GB2312"/>
          <w:color w:val="000000"/>
          <w:sz w:val="32"/>
          <w:szCs w:val="32"/>
        </w:rPr>
        <w:t>年</w:t>
      </w:r>
      <w:r>
        <w:rPr>
          <w:rFonts w:hint="default" w:ascii="仿宋_GB2312" w:hAnsi="仿宋_GB2312" w:eastAsia="仿宋_GB2312"/>
          <w:color w:val="000000"/>
          <w:sz w:val="32"/>
          <w:szCs w:val="32"/>
          <w:lang w:val="en"/>
        </w:rPr>
        <w:t>4</w:t>
      </w:r>
      <w:r>
        <w:rPr>
          <w:rFonts w:ascii="仿宋_GB2312" w:hAnsi="仿宋_GB2312" w:eastAsia="仿宋_GB2312"/>
          <w:color w:val="000000"/>
          <w:sz w:val="32"/>
          <w:szCs w:val="32"/>
        </w:rPr>
        <w:t>月</w:t>
      </w:r>
      <w:r>
        <w:rPr>
          <w:rFonts w:hint="default" w:ascii="仿宋_GB2312" w:hAnsi="仿宋_GB2312" w:eastAsia="仿宋_GB2312"/>
          <w:color w:val="000000"/>
          <w:sz w:val="32"/>
          <w:szCs w:val="32"/>
          <w:lang w:val="en"/>
        </w:rPr>
        <w:t>19</w:t>
      </w:r>
      <w:r>
        <w:rPr>
          <w:rFonts w:ascii="仿宋_GB2312" w:hAnsi="仿宋_GB2312" w:eastAsia="仿宋_GB2312"/>
          <w:color w:val="000000"/>
          <w:sz w:val="32"/>
          <w:szCs w:val="32"/>
        </w:rPr>
        <w:t>日</w:t>
      </w:r>
    </w:p>
    <w:sectPr>
      <w:footerReference r:id="rId3" w:type="default"/>
      <w:pgSz w:w="11906" w:h="16838"/>
      <w:pgMar w:top="2098" w:right="1474" w:bottom="1984"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altName w:val="方正仿宋_GBK"/>
    <w:panose1 w:val="02010609030101010101"/>
    <w:charset w:val="86"/>
    <w:family w:val="auto"/>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WAAAAZHJzL1BLAQIUABQA&#10;AAAIAIdO4kDOqXm5zwAAAAUBAAAPAAAAAAAAAAEAIAAAADgAAABkcnMvZG93bnJldi54bWxQSwEC&#10;FAAUAAAACACHTuJA8Wfk5a4BAABLAwAADgAAAAAAAAABACAAAAA0AQAAZHJzL2Uyb0RvYy54bWxQ&#10;SwUGAAAAAAYABgBZAQAAVAUAAAAA&#10;">
              <v:fill on="f" focussize="0,0"/>
              <v:stroke on="f"/>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1MmQzYTA0YzZiYjYwZTc2NjFiM2FkOGQ1MThhZGYifQ=="/>
  </w:docVars>
  <w:rsids>
    <w:rsidRoot w:val="28DC674E"/>
    <w:rsid w:val="00F92BA9"/>
    <w:rsid w:val="037979A5"/>
    <w:rsid w:val="0EAB8DC9"/>
    <w:rsid w:val="0FAF5A80"/>
    <w:rsid w:val="15FA1EE1"/>
    <w:rsid w:val="160B6B83"/>
    <w:rsid w:val="1ABD6877"/>
    <w:rsid w:val="28DC674E"/>
    <w:rsid w:val="2BEA0C08"/>
    <w:rsid w:val="2FFF40E5"/>
    <w:rsid w:val="34563729"/>
    <w:rsid w:val="367F4281"/>
    <w:rsid w:val="3B7EC7D1"/>
    <w:rsid w:val="3CFD8AF5"/>
    <w:rsid w:val="3EFB826B"/>
    <w:rsid w:val="3FB6F667"/>
    <w:rsid w:val="3FFF37CA"/>
    <w:rsid w:val="41113F99"/>
    <w:rsid w:val="449FE16A"/>
    <w:rsid w:val="4A4C2CEB"/>
    <w:rsid w:val="4FA964E9"/>
    <w:rsid w:val="4FB754AB"/>
    <w:rsid w:val="4FF78E53"/>
    <w:rsid w:val="52FB247A"/>
    <w:rsid w:val="54843463"/>
    <w:rsid w:val="54AA68C3"/>
    <w:rsid w:val="569F41A2"/>
    <w:rsid w:val="56DB3C8E"/>
    <w:rsid w:val="583D3C73"/>
    <w:rsid w:val="58DD0FB2"/>
    <w:rsid w:val="59D2663D"/>
    <w:rsid w:val="5A581471"/>
    <w:rsid w:val="5BFD79F4"/>
    <w:rsid w:val="5C1B076F"/>
    <w:rsid w:val="5D33A297"/>
    <w:rsid w:val="5E0F9C50"/>
    <w:rsid w:val="5E5FE773"/>
    <w:rsid w:val="5EABFE78"/>
    <w:rsid w:val="5EEF79B4"/>
    <w:rsid w:val="5EFB6A2F"/>
    <w:rsid w:val="5F6F3F30"/>
    <w:rsid w:val="5F9D6289"/>
    <w:rsid w:val="603D786B"/>
    <w:rsid w:val="63DF8DA0"/>
    <w:rsid w:val="65CC625F"/>
    <w:rsid w:val="67FD6D8F"/>
    <w:rsid w:val="6953378C"/>
    <w:rsid w:val="6AF90734"/>
    <w:rsid w:val="6BFF3786"/>
    <w:rsid w:val="6DBA2EED"/>
    <w:rsid w:val="6EB850B1"/>
    <w:rsid w:val="6F904A19"/>
    <w:rsid w:val="6FBAEE1B"/>
    <w:rsid w:val="6FF785F6"/>
    <w:rsid w:val="705D4A5A"/>
    <w:rsid w:val="71179015"/>
    <w:rsid w:val="73EFD71F"/>
    <w:rsid w:val="747F522D"/>
    <w:rsid w:val="75FEE779"/>
    <w:rsid w:val="76F1CCAF"/>
    <w:rsid w:val="77073972"/>
    <w:rsid w:val="77C57280"/>
    <w:rsid w:val="77DCE1D3"/>
    <w:rsid w:val="789F697B"/>
    <w:rsid w:val="79FD2E0A"/>
    <w:rsid w:val="7AEF947C"/>
    <w:rsid w:val="7BEFE611"/>
    <w:rsid w:val="7BFF389B"/>
    <w:rsid w:val="7BFF7C61"/>
    <w:rsid w:val="7BFF8DA2"/>
    <w:rsid w:val="7DE7F24E"/>
    <w:rsid w:val="7E3B5AEF"/>
    <w:rsid w:val="7E7F26C1"/>
    <w:rsid w:val="7EBEBB09"/>
    <w:rsid w:val="7ECFD226"/>
    <w:rsid w:val="7EE7A492"/>
    <w:rsid w:val="7EEB8B88"/>
    <w:rsid w:val="7EEEED64"/>
    <w:rsid w:val="7F6F8DEF"/>
    <w:rsid w:val="7F7D3100"/>
    <w:rsid w:val="7F934002"/>
    <w:rsid w:val="7FF1E0CB"/>
    <w:rsid w:val="7FFDBC3B"/>
    <w:rsid w:val="7FFF503A"/>
    <w:rsid w:val="8F6C8845"/>
    <w:rsid w:val="8FF5CEA4"/>
    <w:rsid w:val="9EB1E475"/>
    <w:rsid w:val="AFFCB9EC"/>
    <w:rsid w:val="B6FBF55D"/>
    <w:rsid w:val="B77FE611"/>
    <w:rsid w:val="B8FFC910"/>
    <w:rsid w:val="BBBBE72D"/>
    <w:rsid w:val="BE9674E9"/>
    <w:rsid w:val="BECA44A7"/>
    <w:rsid w:val="BFDFE610"/>
    <w:rsid w:val="CEFFBE5E"/>
    <w:rsid w:val="D67ECD5C"/>
    <w:rsid w:val="D6F94216"/>
    <w:rsid w:val="D95B12F9"/>
    <w:rsid w:val="DAEF6930"/>
    <w:rsid w:val="DDFF7701"/>
    <w:rsid w:val="DE7D478A"/>
    <w:rsid w:val="DF6BE0B0"/>
    <w:rsid w:val="DF6F838E"/>
    <w:rsid w:val="DF8601AC"/>
    <w:rsid w:val="DFFB0E48"/>
    <w:rsid w:val="E32A9674"/>
    <w:rsid w:val="E7BDE044"/>
    <w:rsid w:val="EECFE365"/>
    <w:rsid w:val="EFB637E8"/>
    <w:rsid w:val="EFFEDED8"/>
    <w:rsid w:val="F67BE62B"/>
    <w:rsid w:val="F6D5FDBF"/>
    <w:rsid w:val="F7BF9919"/>
    <w:rsid w:val="F7D837C7"/>
    <w:rsid w:val="F7FEB32A"/>
    <w:rsid w:val="F99F9AF8"/>
    <w:rsid w:val="F9B99CB6"/>
    <w:rsid w:val="FABF5048"/>
    <w:rsid w:val="FBD746A0"/>
    <w:rsid w:val="FCF73FAD"/>
    <w:rsid w:val="FD355DDE"/>
    <w:rsid w:val="FD7B80FC"/>
    <w:rsid w:val="FDEB1FA3"/>
    <w:rsid w:val="FE777C6E"/>
    <w:rsid w:val="FEEDCB4C"/>
    <w:rsid w:val="FEFFA42B"/>
    <w:rsid w:val="FF339D68"/>
    <w:rsid w:val="FF5F44CB"/>
    <w:rsid w:val="FF8F7891"/>
    <w:rsid w:val="FF971AF5"/>
    <w:rsid w:val="FFD337F1"/>
    <w:rsid w:val="FFDBB6EC"/>
    <w:rsid w:val="FFE0F3AB"/>
    <w:rsid w:val="FFF502D6"/>
    <w:rsid w:val="FFF65605"/>
    <w:rsid w:val="FFFA0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1</TotalTime>
  <ScaleCrop>false</ScaleCrop>
  <LinksUpToDate>false</LinksUpToDate>
  <CharactersWithSpaces>0</CharactersWithSpaces>
  <Application>WPS Office_11.8.2.10605_F1E327BC-269C-435d-A152-05C5408002CA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2024-04-05T12:23:00Z</dcterms:created>
  <dc:creator>张文静</dc:creator>
  <cp:lastModifiedBy>kylin</cp:lastModifiedBy>
  <dcterms:modified xsi:type="dcterms:W3CDTF">2024-08-23T13:02:57Z</dcterms:modified>
  <dc:title>深  圳  市  人  民  政  府</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2052-11.8.2.10605</vt:lpwstr>
  </property>
  <property fmtid="{D5CDD505-2E9C-101B-9397-08002B2CF9AE}" pid="3" name="ICV">
    <vt:lpwstr>1D34F852A07646F5B9805002596DC8C3_11</vt:lpwstr>
  </property>
</Properties>
</file>