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宋体" w:eastAsia="方正小标宋_GBK"/>
          <w:color w:val="auto"/>
          <w:kern w:val="2"/>
          <w:sz w:val="44"/>
          <w:szCs w:val="22"/>
        </w:rPr>
      </w:pPr>
      <w:bookmarkStart w:id="2" w:name="_GoBack"/>
      <w:bookmarkEnd w:id="2"/>
      <w:r>
        <w:rPr>
          <w:rFonts w:hint="eastAsia" w:ascii="方正小标宋_GBK" w:hAnsi="宋体" w:eastAsia="方正小标宋_GBK"/>
          <w:color w:val="auto"/>
          <w:kern w:val="2"/>
          <w:sz w:val="44"/>
          <w:szCs w:val="22"/>
        </w:rPr>
        <w:t>深  圳  市  人  民  政  府</w:t>
      </w:r>
    </w:p>
    <w:p>
      <w:pPr>
        <w:spacing w:line="560" w:lineRule="exact"/>
        <w:jc w:val="center"/>
        <w:rPr>
          <w:rFonts w:ascii="宋体" w:hAnsi="宋体"/>
          <w:bCs/>
          <w:color w:val="auto"/>
          <w:kern w:val="2"/>
          <w:sz w:val="44"/>
          <w:szCs w:val="22"/>
        </w:rPr>
      </w:pPr>
      <w:r>
        <w:rPr>
          <w:rFonts w:hint="eastAsia" w:ascii="方正小标宋_GBK" w:hAnsi="宋体" w:eastAsia="方正小标宋_GBK"/>
          <w:bCs/>
          <w:color w:val="auto"/>
          <w:kern w:val="2"/>
          <w:sz w:val="44"/>
          <w:szCs w:val="22"/>
        </w:rPr>
        <w:t>行政复议决定书</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color w:val="auto"/>
        </w:rPr>
      </w:pPr>
    </w:p>
    <w:p>
      <w:pPr>
        <w:keepNext w:val="0"/>
        <w:keepLines w:val="0"/>
        <w:pageBreakBefore w:val="0"/>
        <w:widowControl w:val="0"/>
        <w:kinsoku/>
        <w:overflowPunct/>
        <w:topLinePunct w:val="0"/>
        <w:autoSpaceDE/>
        <w:autoSpaceDN/>
        <w:bidi w:val="0"/>
        <w:adjustRightInd/>
        <w:snapToGrid/>
        <w:spacing w:line="560" w:lineRule="exact"/>
        <w:jc w:val="right"/>
        <w:textAlignment w:val="auto"/>
        <w:rPr>
          <w:rFonts w:ascii="仿宋_GB2312" w:hAnsi="仿宋_GB2312" w:eastAsia="仿宋_GB2312"/>
          <w:color w:val="auto"/>
          <w:sz w:val="32"/>
        </w:rPr>
      </w:pPr>
      <w:r>
        <w:rPr>
          <w:b/>
          <w:bCs/>
          <w:color w:val="auto"/>
          <w:sz w:val="36"/>
        </w:rPr>
        <w:t xml:space="preserve">       </w:t>
      </w:r>
      <w:r>
        <w:rPr>
          <w:rFonts w:eastAsia="仿宋_GB2312"/>
          <w:b/>
          <w:bCs/>
          <w:color w:val="auto"/>
          <w:sz w:val="36"/>
        </w:rPr>
        <w:t xml:space="preserve">                   </w:t>
      </w:r>
      <w:r>
        <w:rPr>
          <w:rFonts w:hint="eastAsia" w:ascii="仿宋_GB2312" w:hAnsi="仿宋_GB2312" w:eastAsia="仿宋_GB2312"/>
          <w:color w:val="auto"/>
          <w:sz w:val="32"/>
        </w:rPr>
        <w:t>深府行复〔202</w:t>
      </w:r>
      <w:r>
        <w:rPr>
          <w:rFonts w:hint="eastAsia" w:ascii="仿宋_GB2312" w:hAnsi="仿宋_GB2312" w:eastAsia="仿宋_GB2312"/>
          <w:color w:val="auto"/>
          <w:sz w:val="32"/>
          <w:lang w:val="en-US" w:eastAsia="zh-CN"/>
        </w:rPr>
        <w:t>4</w:t>
      </w:r>
      <w:r>
        <w:rPr>
          <w:rFonts w:hint="eastAsia" w:ascii="仿宋_GB2312" w:hAnsi="仿宋_GB2312" w:eastAsia="仿宋_GB2312"/>
          <w:color w:val="auto"/>
          <w:sz w:val="32"/>
        </w:rPr>
        <w:t>〕</w:t>
      </w:r>
      <w:r>
        <w:rPr>
          <w:rFonts w:hint="eastAsia" w:ascii="仿宋_GB2312" w:hAnsi="仿宋_GB2312" w:eastAsia="仿宋_GB2312"/>
          <w:color w:val="auto"/>
          <w:sz w:val="32"/>
          <w:lang w:val="en-US" w:eastAsia="zh-CN"/>
        </w:rPr>
        <w:t>847</w:t>
      </w:r>
      <w:r>
        <w:rPr>
          <w:rFonts w:hint="eastAsia" w:ascii="仿宋_GB2312" w:hAnsi="仿宋_GB2312" w:eastAsia="仿宋_GB2312"/>
          <w:color w:val="auto"/>
          <w:sz w:val="32"/>
        </w:rPr>
        <w:t>号</w:t>
      </w:r>
    </w:p>
    <w:p>
      <w:pPr>
        <w:keepNext w:val="0"/>
        <w:keepLines w:val="0"/>
        <w:pageBreakBefore w:val="0"/>
        <w:widowControl w:val="0"/>
        <w:kinsoku/>
        <w:overflowPunct/>
        <w:topLinePunct w:val="0"/>
        <w:autoSpaceDE/>
        <w:autoSpaceDN/>
        <w:bidi w:val="0"/>
        <w:adjustRightInd/>
        <w:snapToGrid/>
        <w:spacing w:line="560" w:lineRule="exact"/>
        <w:textAlignment w:val="auto"/>
        <w:rPr>
          <w:rFonts w:eastAsia="仿宋_GB2312"/>
          <w:color w:val="auto"/>
          <w:sz w:val="32"/>
          <w:u w:val="single"/>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Style w:val="6"/>
          <w:rFonts w:hint="default" w:ascii="仿宋_GB2312" w:hAnsi="inherit" w:eastAsia="仿宋_GB2312"/>
          <w:color w:val="auto"/>
          <w:sz w:val="32"/>
          <w:szCs w:val="32"/>
          <w:lang w:val="en-US" w:eastAsia="zh-CN"/>
        </w:rPr>
      </w:pPr>
      <w:r>
        <w:rPr>
          <w:rFonts w:hint="eastAsia" w:eastAsia="黑体"/>
          <w:color w:val="auto"/>
          <w:sz w:val="32"/>
        </w:rPr>
        <w:t>申请人：</w:t>
      </w:r>
      <w:r>
        <w:rPr>
          <w:rStyle w:val="6"/>
          <w:rFonts w:hint="eastAsia" w:ascii="仿宋_GB2312" w:hAnsi="inherit" w:eastAsia="仿宋_GB2312"/>
          <w:color w:val="auto"/>
          <w:sz w:val="32"/>
          <w:szCs w:val="32"/>
          <w:lang w:val="en-US" w:eastAsia="zh-CN"/>
        </w:rPr>
        <w:t>谭某</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rPr>
      </w:pPr>
      <w:r>
        <w:rPr>
          <w:rFonts w:hint="eastAsia" w:eastAsia="黑体"/>
          <w:color w:val="auto"/>
          <w:sz w:val="32"/>
        </w:rPr>
        <w:t>被申请人：</w:t>
      </w:r>
      <w:r>
        <w:rPr>
          <w:rFonts w:hint="eastAsia" w:ascii="仿宋_GB2312" w:eastAsia="仿宋_GB2312"/>
          <w:color w:val="auto"/>
          <w:sz w:val="32"/>
        </w:rPr>
        <w:t>深圳市市场监督管理局</w:t>
      </w:r>
      <w:r>
        <w:rPr>
          <w:rFonts w:hint="eastAsia" w:ascii="仿宋_GB2312" w:eastAsia="仿宋_GB2312"/>
          <w:color w:val="auto"/>
          <w:sz w:val="32"/>
          <w:lang w:eastAsia="zh-CN"/>
        </w:rPr>
        <w:t>宝安</w:t>
      </w:r>
      <w:r>
        <w:rPr>
          <w:rFonts w:hint="eastAsia" w:ascii="仿宋_GB2312" w:eastAsia="仿宋_GB2312"/>
          <w:color w:val="auto"/>
          <w:sz w:val="32"/>
        </w:rPr>
        <w:t>监管局</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zh-CN"/>
        </w:rPr>
      </w:pPr>
      <w:r>
        <w:rPr>
          <w:rFonts w:hint="eastAsia" w:ascii="仿宋_GB2312" w:eastAsia="仿宋_GB2312"/>
          <w:color w:val="auto"/>
          <w:sz w:val="32"/>
        </w:rPr>
        <w:t>地址：</w:t>
      </w:r>
      <w:r>
        <w:rPr>
          <w:rFonts w:hint="eastAsia" w:ascii="仿宋_GB2312" w:eastAsia="仿宋_GB2312"/>
          <w:color w:val="auto"/>
          <w:sz w:val="32"/>
          <w:lang w:val="zh-CN" w:eastAsia="zh-CN"/>
        </w:rPr>
        <w:t>深圳市宝安区新安街道42区翻身路75号</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zh-CN"/>
        </w:rPr>
      </w:pPr>
      <w:r>
        <w:rPr>
          <w:rFonts w:hint="eastAsia" w:ascii="仿宋_GB2312" w:eastAsia="仿宋_GB2312"/>
          <w:color w:val="auto"/>
          <w:sz w:val="32"/>
          <w:lang w:val="zh-CN"/>
        </w:rPr>
        <w:t>法定代表人：</w:t>
      </w:r>
      <w:r>
        <w:rPr>
          <w:rFonts w:hint="eastAsia" w:ascii="仿宋_GB2312" w:eastAsia="仿宋_GB2312"/>
          <w:color w:val="auto"/>
          <w:sz w:val="32"/>
          <w:lang w:val="zh-CN" w:eastAsia="zh-CN"/>
        </w:rPr>
        <w:t>周家贵，局长</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申请人</w:t>
      </w:r>
      <w:r>
        <w:rPr>
          <w:rFonts w:hint="eastAsia" w:ascii="仿宋_GB2312" w:eastAsia="仿宋_GB2312"/>
          <w:color w:val="auto"/>
          <w:sz w:val="32"/>
          <w:szCs w:val="32"/>
          <w:lang w:eastAsia="zh-CN"/>
        </w:rPr>
        <w:t>不服</w:t>
      </w:r>
      <w:r>
        <w:rPr>
          <w:rFonts w:hint="eastAsia" w:ascii="仿宋_GB2312" w:eastAsia="仿宋_GB2312"/>
          <w:color w:val="auto"/>
          <w:sz w:val="32"/>
          <w:szCs w:val="32"/>
        </w:rPr>
        <w:t>被申请人</w:t>
      </w:r>
      <w:r>
        <w:rPr>
          <w:rFonts w:hint="eastAsia" w:ascii="仿宋_GB2312" w:eastAsia="仿宋_GB2312"/>
          <w:color w:val="auto"/>
          <w:sz w:val="32"/>
          <w:szCs w:val="32"/>
          <w:lang w:eastAsia="zh-CN"/>
        </w:rPr>
        <w:t>作出的</w:t>
      </w:r>
      <w:r>
        <w:rPr>
          <w:rFonts w:hint="eastAsia" w:ascii="仿宋_GB2312" w:hAnsi="仿宋_GB2312" w:eastAsia="仿宋_GB2312"/>
          <w:color w:val="auto"/>
          <w:sz w:val="32"/>
          <w:lang w:val="en-US" w:eastAsia="zh-CN"/>
        </w:rPr>
        <w:t>深市监宝终调字〔2024〕××号《投诉终止调解决定书》，</w:t>
      </w:r>
      <w:r>
        <w:rPr>
          <w:rFonts w:hint="eastAsia" w:ascii="仿宋_GB2312" w:eastAsia="仿宋_GB2312"/>
          <w:color w:val="auto"/>
          <w:sz w:val="32"/>
          <w:szCs w:val="32"/>
        </w:rPr>
        <w:t>向本机关申请行政复议，本机关依法受理</w:t>
      </w:r>
      <w:r>
        <w:rPr>
          <w:rFonts w:hint="eastAsia" w:ascii="仿宋_GB2312" w:eastAsia="仿宋_GB2312"/>
          <w:color w:val="auto"/>
          <w:sz w:val="32"/>
          <w:szCs w:val="32"/>
          <w:lang w:eastAsia="zh-CN"/>
        </w:rPr>
        <w:t>，并适用普通程序审理</w:t>
      </w:r>
      <w:r>
        <w:rPr>
          <w:rFonts w:hint="eastAsia" w:ascii="仿宋_GB2312" w:eastAsia="仿宋_GB2312"/>
          <w:color w:val="auto"/>
          <w:sz w:val="32"/>
          <w:szCs w:val="32"/>
        </w:rPr>
        <w:t>。被申请人</w:t>
      </w:r>
      <w:r>
        <w:rPr>
          <w:rFonts w:hint="eastAsia" w:ascii="仿宋_GB2312" w:eastAsia="仿宋_GB2312"/>
          <w:bCs/>
          <w:color w:val="auto"/>
          <w:sz w:val="32"/>
          <w:szCs w:val="32"/>
        </w:rPr>
        <w:t>向本机关提交了书面答复及有关证据和依据，</w:t>
      </w:r>
      <w:r>
        <w:rPr>
          <w:rFonts w:hint="eastAsia" w:ascii="仿宋_GB2312" w:eastAsia="仿宋_GB2312"/>
          <w:color w:val="auto"/>
          <w:sz w:val="32"/>
          <w:szCs w:val="32"/>
        </w:rPr>
        <w:t>本案现已审理终结。</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黑体"/>
          <w:color w:val="auto"/>
          <w:sz w:val="32"/>
        </w:rPr>
        <w:t>经查</w:t>
      </w:r>
      <w:r>
        <w:rPr>
          <w:rFonts w:hint="eastAsia" w:ascii="仿宋_GB2312" w:hAnsi="仿宋_GB2312" w:eastAsia="黑体"/>
          <w:bCs/>
          <w:color w:val="auto"/>
          <w:sz w:val="32"/>
        </w:rPr>
        <w:t>：</w:t>
      </w:r>
      <w:r>
        <w:rPr>
          <w:rFonts w:hint="eastAsia" w:ascii="仿宋_GB2312" w:hAnsi="仿宋_GB2312" w:eastAsia="仿宋_GB2312" w:cs="仿宋_GB2312"/>
          <w:color w:val="auto"/>
          <w:sz w:val="32"/>
          <w:szCs w:val="32"/>
          <w:lang w:val="en-US" w:eastAsia="zh-CN"/>
        </w:rPr>
        <w:t>2023年12月28日，被申请人收到申请人邮寄的《投诉/举报（履职申请）书》等材料。申请人称其于2023年12月19日在位于深圳市宝安区</w:t>
      </w:r>
      <w:r>
        <w:rPr>
          <w:rFonts w:hint="eastAsia"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号的</w:t>
      </w:r>
      <w:r>
        <w:rPr>
          <w:rFonts w:hint="eastAsia"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健康药房购买玻璃体温计，被投诉人向其交付的案涉体温计未附标签、说明书，申请人认为被投诉人行为违法，侵害了其合法权益，请求被申请人组织调解等。随后，被申请人决定受理上述投诉，并于2024年1月4日向申请人邮寄送达受理决定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2024年1月23日，被投诉人向被申请人提供《拒绝调解声明》称：“关于投诉人对我店销售体温计的投诉，你局执法人员已将投诉内容告知我店，我店考虑再三，决定拒绝与投诉人进行调解。”</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2024年1月25日，</w:t>
      </w:r>
      <w:r>
        <w:rPr>
          <w:rFonts w:hint="eastAsia" w:ascii="仿宋_GB2312" w:hAnsi="仿宋_GB2312" w:eastAsia="仿宋_GB2312" w:cs="仿宋_GB2312"/>
          <w:color w:val="auto"/>
          <w:sz w:val="32"/>
          <w:szCs w:val="32"/>
          <w:lang w:val="en-US" w:eastAsia="zh-CN"/>
        </w:rPr>
        <w:t>被申请人作出深市监宝终调字〔2024〕××号《投诉终止调解决定书》，告知申请人关于</w:t>
      </w:r>
      <w:r>
        <w:rPr>
          <w:rFonts w:hint="eastAsia"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号）的投诉调解过程中出现“投诉人或者被投诉人无正当理由不参加调解；或者被投诉人明确拒绝调解的”情形，决定终止调解。</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申请人不服该终止调解决定，向本机关申请行政复议，主张：1.被申请人作出投诉终止调解决定未明确告知作出终止调解决定的理由；2.申请人至今未参与被申请人采取的任何形式的调解；3.被申请人未事先告知申请人调解人员的名字等基本信息；4.被申请人仅与被投诉人一方接触的行为违反行政法“公开、公平、公正”的基本原则。请求：撤销被申请人作出的深市监宝终调字〔2024〕××号《投诉终止调解决定书》，责令依法重新组织调解。本机关于2024年2月21日收到申请人邮寄的行政复议申请，并于2024年2月27日受理行政复议申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仿宋_GB2312"/>
          <w:color w:val="auto"/>
          <w:sz w:val="32"/>
          <w:szCs w:val="32"/>
          <w:lang w:val="en-US" w:eastAsia="zh-CN" w:bidi="ar"/>
        </w:rPr>
      </w:pPr>
      <w:r>
        <w:rPr>
          <w:rFonts w:hint="eastAsia" w:eastAsia="黑体"/>
          <w:color w:val="auto"/>
          <w:sz w:val="32"/>
        </w:rPr>
        <w:t>本机关认为：</w:t>
      </w:r>
      <w:r>
        <w:rPr>
          <w:rFonts w:hint="eastAsia" w:ascii="仿宋_GB2312" w:hAnsi="Calibri" w:eastAsia="仿宋_GB2312" w:cs="仿宋_GB2312"/>
          <w:color w:val="auto"/>
          <w:sz w:val="32"/>
          <w:szCs w:val="32"/>
          <w:lang w:val="en-US" w:eastAsia="zh-CN" w:bidi="ar"/>
        </w:rPr>
        <w:t>《市场监督管理投诉举报处理暂行办法》第十四条规定：“具有本办法规定的处理权限的市场监督管理部门，应当自收到投诉之日起七个工作日内作出受理或者不予受理的决定，并告知投诉人。”第二十一条第一款第（三）项规定：“有下列情形之一的，终止调解</w:t>
      </w:r>
      <w:bookmarkStart w:id="0" w:name="tiao_21_kuan_1_xiang_1"/>
      <w:bookmarkEnd w:id="0"/>
      <w:bookmarkStart w:id="1" w:name="tiao_21_kuan_1_xiang_3"/>
      <w:bookmarkEnd w:id="1"/>
      <w:r>
        <w:rPr>
          <w:rFonts w:hint="eastAsia" w:ascii="仿宋_GB2312" w:hAnsi="Calibri" w:eastAsia="仿宋_GB2312" w:cs="仿宋_GB2312"/>
          <w:color w:val="auto"/>
          <w:sz w:val="32"/>
          <w:szCs w:val="32"/>
          <w:lang w:val="en-US" w:eastAsia="zh-CN" w:bidi="ar"/>
        </w:rPr>
        <w:t>……（三）投诉人或者被投诉人无正当理由不参加调解，或者被投诉人明确拒绝调解的……”第二款规定：“终止调解的，市场监督管理部门应当自作出终止调解决定之日起七个工作日内告知投诉人和被投诉人。”本案根据被申请人提交的证据可以证明，被申请人受理申请人投诉后，在被投诉人明确表示拒绝调解的情况下，决定终止调解，符合上述规章规定，并无违法或不当。申请人提出行政复议申请理由不成立，本机关不予支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综上，</w:t>
      </w:r>
      <w:r>
        <w:rPr>
          <w:rFonts w:hint="eastAsia" w:ascii="仿宋_GB2312" w:eastAsia="仿宋_GB2312"/>
          <w:color w:val="auto"/>
          <w:sz w:val="32"/>
          <w:szCs w:val="32"/>
          <w:lang w:eastAsia="zh-CN"/>
        </w:rPr>
        <w:t>依照</w:t>
      </w:r>
      <w:r>
        <w:rPr>
          <w:rFonts w:hint="eastAsia" w:ascii="仿宋_GB2312" w:eastAsia="仿宋_GB2312"/>
          <w:color w:val="auto"/>
          <w:sz w:val="32"/>
          <w:szCs w:val="32"/>
        </w:rPr>
        <w:t>《中华人民共和国行政复议法》第</w:t>
      </w:r>
      <w:r>
        <w:rPr>
          <w:rFonts w:hint="eastAsia" w:ascii="仿宋_GB2312" w:eastAsia="仿宋_GB2312"/>
          <w:color w:val="auto"/>
          <w:sz w:val="32"/>
          <w:szCs w:val="32"/>
          <w:lang w:eastAsia="zh-CN"/>
        </w:rPr>
        <w:t>六</w:t>
      </w:r>
      <w:r>
        <w:rPr>
          <w:rFonts w:hint="eastAsia" w:ascii="仿宋_GB2312" w:eastAsia="仿宋_GB2312"/>
          <w:color w:val="auto"/>
          <w:sz w:val="32"/>
          <w:szCs w:val="32"/>
        </w:rPr>
        <w:t>十八条之规定，本机关作出复议决定如下：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auto"/>
          <w:sz w:val="32"/>
          <w:lang w:val="en-US" w:eastAsia="zh-CN"/>
        </w:rPr>
      </w:pPr>
      <w:r>
        <w:rPr>
          <w:rFonts w:hint="eastAsia" w:ascii="仿宋_GB2312" w:eastAsia="仿宋_GB2312"/>
          <w:color w:val="auto"/>
          <w:sz w:val="32"/>
          <w:szCs w:val="32"/>
        </w:rPr>
        <w:t>维持</w:t>
      </w:r>
      <w:r>
        <w:rPr>
          <w:rFonts w:hint="eastAsia" w:ascii="仿宋_GB2312" w:hAnsi="仿宋_GB2312" w:eastAsia="仿宋_GB2312"/>
          <w:color w:val="auto"/>
          <w:sz w:val="32"/>
          <w:lang w:val="en-US" w:eastAsia="zh-CN"/>
        </w:rPr>
        <w:t>被申请人深圳市市场监督管理局宝安监管局作出的深市监宝终调字〔2024〕××号《投诉终止调解决定书》。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rPr>
      </w:pPr>
      <w:r>
        <w:rPr>
          <w:rFonts w:hint="eastAsia" w:ascii="仿宋_GB2312" w:hAnsi="仿宋_GB2312" w:eastAsia="仿宋_GB2312"/>
          <w:color w:val="auto"/>
          <w:sz w:val="32"/>
        </w:rPr>
        <w:t>本复议决定书一经送达，即发生法律效力。申请人如对本复议决定不服，</w:t>
      </w:r>
      <w:r>
        <w:rPr>
          <w:rFonts w:ascii="仿宋_GB2312" w:hAnsi="仿宋_GB2312" w:eastAsia="仿宋_GB2312"/>
          <w:color w:val="auto"/>
          <w:sz w:val="32"/>
        </w:rPr>
        <w:t>可自收到复议决定书之日起十五日内</w:t>
      </w:r>
      <w:r>
        <w:rPr>
          <w:rFonts w:hint="eastAsia" w:ascii="仿宋_GB2312" w:hAnsi="仿宋_GB2312" w:eastAsia="仿宋_GB2312"/>
          <w:color w:val="auto"/>
          <w:sz w:val="32"/>
          <w:lang w:eastAsia="zh-CN"/>
        </w:rPr>
        <w:t>依法</w:t>
      </w:r>
      <w:r>
        <w:rPr>
          <w:rFonts w:ascii="仿宋_GB2312" w:hAnsi="仿宋_GB2312" w:eastAsia="仿宋_GB2312"/>
          <w:color w:val="auto"/>
          <w:sz w:val="32"/>
        </w:rPr>
        <w:t>向有管辖权的人民法院提起诉讼</w:t>
      </w:r>
      <w:r>
        <w:rPr>
          <w:rFonts w:hint="eastAsia" w:ascii="仿宋_GB2312" w:hAnsi="仿宋_GB2312" w:eastAsia="仿宋_GB2312"/>
          <w:color w:val="auto"/>
          <w:sz w:val="32"/>
        </w:rPr>
        <w:t>。</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仿宋_GB2312" w:eastAsia="仿宋_GB2312"/>
          <w:color w:val="auto"/>
          <w:sz w:val="32"/>
        </w:rPr>
      </w:pPr>
    </w:p>
    <w:p>
      <w:pPr>
        <w:keepNext w:val="0"/>
        <w:keepLines w:val="0"/>
        <w:pageBreakBefore w:val="0"/>
        <w:widowControl w:val="0"/>
        <w:kinsoku/>
        <w:overflowPunct/>
        <w:topLinePunct w:val="0"/>
        <w:autoSpaceDE/>
        <w:autoSpaceDN/>
        <w:bidi w:val="0"/>
        <w:adjustRightInd/>
        <w:snapToGrid/>
        <w:spacing w:line="560" w:lineRule="exact"/>
        <w:ind w:firstLine="5440" w:firstLineChars="1700"/>
        <w:textAlignment w:val="auto"/>
        <w:rPr>
          <w:rFonts w:ascii="仿宋_GB2312" w:hAnsi="仿宋_GB2312" w:eastAsia="仿宋_GB2312"/>
          <w:color w:val="auto"/>
          <w:sz w:val="32"/>
        </w:rPr>
      </w:pPr>
      <w:r>
        <w:rPr>
          <w:rFonts w:hint="eastAsia" w:ascii="仿宋_GB2312" w:hAnsi="仿宋_GB2312" w:eastAsia="仿宋_GB2312"/>
          <w:color w:val="auto"/>
          <w:sz w:val="32"/>
        </w:rPr>
        <w:t>深圳市人民政府</w:t>
      </w:r>
    </w:p>
    <w:p>
      <w:pPr>
        <w:keepNext w:val="0"/>
        <w:keepLines w:val="0"/>
        <w:pageBreakBefore w:val="0"/>
        <w:widowControl w:val="0"/>
        <w:kinsoku/>
        <w:overflowPunct/>
        <w:topLinePunct w:val="0"/>
        <w:autoSpaceDE/>
        <w:autoSpaceDN/>
        <w:bidi w:val="0"/>
        <w:adjustRightInd/>
        <w:snapToGrid/>
        <w:spacing w:line="560" w:lineRule="exact"/>
        <w:ind w:left="0" w:leftChars="0" w:firstLine="5459" w:firstLineChars="1706"/>
        <w:textAlignment w:val="auto"/>
        <w:rPr>
          <w:rFonts w:hint="eastAsia" w:ascii="仿宋_GB2312" w:eastAsia="仿宋_GB2312"/>
          <w:color w:val="auto"/>
        </w:rPr>
      </w:pPr>
      <w:r>
        <w:rPr>
          <w:rFonts w:hint="eastAsia" w:ascii="仿宋_GB2312" w:hAnsi="仿宋_GB2312" w:eastAsia="仿宋_GB2312"/>
          <w:color w:val="auto"/>
          <w:sz w:val="32"/>
        </w:rPr>
        <w:t>202</w:t>
      </w:r>
      <w:r>
        <w:rPr>
          <w:rFonts w:hint="eastAsia" w:ascii="仿宋_GB2312" w:hAnsi="仿宋_GB2312" w:eastAsia="仿宋_GB2312"/>
          <w:color w:val="auto"/>
          <w:sz w:val="32"/>
          <w:lang w:val="en-US" w:eastAsia="zh-CN"/>
        </w:rPr>
        <w:t>4</w:t>
      </w:r>
      <w:r>
        <w:rPr>
          <w:rFonts w:hint="eastAsia" w:ascii="仿宋_GB2312" w:hAnsi="仿宋_GB2312" w:eastAsia="仿宋_GB2312"/>
          <w:color w:val="auto"/>
          <w:sz w:val="32"/>
        </w:rPr>
        <w:t>年</w:t>
      </w:r>
      <w:r>
        <w:rPr>
          <w:rFonts w:hint="default" w:ascii="仿宋_GB2312" w:hAnsi="仿宋_GB2312" w:eastAsia="仿宋_GB2312"/>
          <w:color w:val="auto"/>
          <w:sz w:val="32"/>
          <w:lang w:val="en"/>
        </w:rPr>
        <w:t>4</w:t>
      </w:r>
      <w:r>
        <w:rPr>
          <w:rFonts w:hint="eastAsia" w:ascii="仿宋_GB2312" w:hAnsi="仿宋_GB2312" w:eastAsia="仿宋_GB2312"/>
          <w:color w:val="auto"/>
          <w:sz w:val="32"/>
        </w:rPr>
        <w:t>月</w:t>
      </w:r>
      <w:r>
        <w:rPr>
          <w:rFonts w:hint="default" w:ascii="仿宋_GB2312" w:hAnsi="仿宋_GB2312" w:eastAsia="仿宋_GB2312"/>
          <w:color w:val="auto"/>
          <w:sz w:val="32"/>
          <w:lang w:val="en"/>
        </w:rPr>
        <w:t>22</w:t>
      </w:r>
      <w:r>
        <w:rPr>
          <w:rFonts w:hint="eastAsia" w:ascii="仿宋_GB2312" w:hAnsi="仿宋_GB2312" w:eastAsia="仿宋_GB2312"/>
          <w:color w:val="auto"/>
          <w:sz w:val="32"/>
        </w:rPr>
        <w:t>日</w:t>
      </w:r>
    </w:p>
    <w:p>
      <w:pPr>
        <w:spacing w:line="560" w:lineRule="exact"/>
      </w:pPr>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inherit">
    <w:altName w:val="华文仿宋"/>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DOqXm5zwAAAAUBAAAPAAAAAAAAAAEAIAAAADgAAABkcnMvZG93bnJldi54bWxQSwEC&#10;FAAUAAAACACHTuJA8Wfk5a4BAABLAwAADgAAAAAAAAABACAAAAA0AQAAZHJzL2Uyb0RvYy54bWxQ&#10;SwUGAAAAAAYABgBZAQAAVAUAAAAA&#10;">
              <v:fill on="f" focussize="0,0"/>
              <v:stroke on="f"/>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hNTVmY2QwMTU5ZjIyMTJlYjI4NGI1OWEzMzU2MmQifQ=="/>
  </w:docVars>
  <w:rsids>
    <w:rsidRoot w:val="355A6A30"/>
    <w:rsid w:val="0BD63FD1"/>
    <w:rsid w:val="31EE8755"/>
    <w:rsid w:val="355A6A30"/>
    <w:rsid w:val="3BEF847C"/>
    <w:rsid w:val="3C88336B"/>
    <w:rsid w:val="3FBCBB60"/>
    <w:rsid w:val="4BB78752"/>
    <w:rsid w:val="4F7B0CFF"/>
    <w:rsid w:val="4FB98487"/>
    <w:rsid w:val="575BDE0F"/>
    <w:rsid w:val="57EB58CB"/>
    <w:rsid w:val="5F7E1DD0"/>
    <w:rsid w:val="6DFF5A94"/>
    <w:rsid w:val="7AFF3972"/>
    <w:rsid w:val="7F5E7839"/>
    <w:rsid w:val="7F5F93A0"/>
    <w:rsid w:val="7F6EF2CA"/>
    <w:rsid w:val="7F78B1EE"/>
    <w:rsid w:val="7F995B82"/>
    <w:rsid w:val="7FAF53EE"/>
    <w:rsid w:val="8D0FE63A"/>
    <w:rsid w:val="9F8B4F34"/>
    <w:rsid w:val="AFFEFEB7"/>
    <w:rsid w:val="B7BF8DB8"/>
    <w:rsid w:val="B7DF42FD"/>
    <w:rsid w:val="BFDBB197"/>
    <w:rsid w:val="CF7AF660"/>
    <w:rsid w:val="D5ADF499"/>
    <w:rsid w:val="D5FFD0FB"/>
    <w:rsid w:val="DBBAF37C"/>
    <w:rsid w:val="DBBF518E"/>
    <w:rsid w:val="DDFE9628"/>
    <w:rsid w:val="DE26DE2E"/>
    <w:rsid w:val="DEFE19C9"/>
    <w:rsid w:val="DFF85621"/>
    <w:rsid w:val="E97953CC"/>
    <w:rsid w:val="EBFFCA17"/>
    <w:rsid w:val="EFFE4BE4"/>
    <w:rsid w:val="F6FE96FD"/>
    <w:rsid w:val="F7B739DD"/>
    <w:rsid w:val="F8633B6A"/>
    <w:rsid w:val="FAFFFF9C"/>
    <w:rsid w:val="FDB2C048"/>
    <w:rsid w:val="FDFFC93E"/>
    <w:rsid w:val="FDFFDE1D"/>
    <w:rsid w:val="FE7500A5"/>
    <w:rsid w:val="FF3F0F48"/>
    <w:rsid w:val="FF572C80"/>
    <w:rsid w:val="FFFD7964"/>
    <w:rsid w:val="FFFFA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1"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1"/>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列表2"/>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250</TotalTime>
  <ScaleCrop>false</ScaleCrop>
  <LinksUpToDate>false</LinksUpToDate>
  <CharactersWithSpaces>0</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2024-04-17T18:49:00Z</dcterms:created>
  <dc:creator>张文静</dc:creator>
  <cp:lastModifiedBy>kylin</cp:lastModifiedBy>
  <dcterms:modified xsi:type="dcterms:W3CDTF">2024-08-23T13:03:53Z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E8C28DF728894AF9A803D34ECC6ADCF7_13</vt:lpwstr>
  </property>
</Properties>
</file>