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outlineLvl w:val="0"/>
        <w:rPr>
          <w:rFonts w:ascii="方正小标宋_GBK" w:hAnsi="宋体" w:eastAsia="方正小标宋_GBK"/>
          <w:kern w:val="32"/>
          <w:sz w:val="44"/>
        </w:rPr>
      </w:pPr>
      <w:bookmarkStart w:id="0" w:name="_Hlk69651797"/>
      <w:r>
        <w:rPr>
          <w:rFonts w:hint="eastAsia" w:ascii="方正小标宋_GBK" w:hAnsi="宋体" w:eastAsia="方正小标宋_GBK"/>
          <w:kern w:val="32"/>
          <w:sz w:val="44"/>
        </w:rPr>
        <w:t>深  圳  市  人  民  政  府</w:t>
      </w:r>
    </w:p>
    <w:p>
      <w:pPr>
        <w:spacing w:line="540" w:lineRule="exact"/>
        <w:jc w:val="center"/>
        <w:outlineLvl w:val="0"/>
        <w:rPr>
          <w:rFonts w:ascii="宋体" w:hAnsi="宋体"/>
          <w:bCs/>
          <w:kern w:val="32"/>
          <w:sz w:val="44"/>
        </w:rPr>
      </w:pPr>
      <w:r>
        <w:rPr>
          <w:rFonts w:hint="eastAsia" w:ascii="方正小标宋_GBK" w:hAnsi="宋体" w:eastAsia="方正小标宋_GBK"/>
          <w:bCs/>
          <w:kern w:val="32"/>
          <w:sz w:val="44"/>
        </w:rPr>
        <w:t>行政复议决定书</w:t>
      </w:r>
    </w:p>
    <w:p>
      <w:pPr>
        <w:spacing w:line="540" w:lineRule="exact"/>
        <w:jc w:val="center"/>
        <w:rPr>
          <w:kern w:val="32"/>
        </w:rPr>
      </w:pPr>
    </w:p>
    <w:p>
      <w:pPr>
        <w:spacing w:line="540" w:lineRule="exact"/>
        <w:jc w:val="right"/>
        <w:rPr>
          <w:rFonts w:ascii="仿宋_GB2312" w:hAnsi="仿宋_GB2312" w:eastAsia="仿宋_GB2312"/>
          <w:kern w:val="32"/>
          <w:sz w:val="32"/>
          <w:szCs w:val="32"/>
        </w:rPr>
      </w:pPr>
      <w:r>
        <w:rPr>
          <w:rFonts w:hint="eastAsia" w:ascii="仿宋_GB2312" w:eastAsia="仿宋_GB2312"/>
          <w:bCs/>
          <w:kern w:val="32"/>
          <w:sz w:val="32"/>
          <w:szCs w:val="32"/>
        </w:rPr>
        <w:t>深府行复〔202</w:t>
      </w:r>
      <w:r>
        <w:rPr>
          <w:rFonts w:ascii="仿宋_GB2312" w:eastAsia="仿宋_GB2312"/>
          <w:bCs/>
          <w:kern w:val="32"/>
          <w:sz w:val="32"/>
          <w:szCs w:val="32"/>
        </w:rPr>
        <w:t>4</w:t>
      </w:r>
      <w:r>
        <w:rPr>
          <w:rFonts w:hint="eastAsia" w:ascii="仿宋_GB2312" w:eastAsia="仿宋_GB2312"/>
          <w:bCs/>
          <w:kern w:val="32"/>
          <w:sz w:val="32"/>
          <w:szCs w:val="32"/>
        </w:rPr>
        <w:t>〕</w:t>
      </w:r>
      <w:r>
        <w:rPr>
          <w:rFonts w:hint="default" w:ascii="仿宋_GB2312" w:eastAsia="仿宋_GB2312"/>
          <w:bCs/>
          <w:kern w:val="32"/>
          <w:sz w:val="32"/>
          <w:szCs w:val="32"/>
          <w:lang w:val="en"/>
        </w:rPr>
        <w:t>944</w:t>
      </w:r>
      <w:bookmarkStart w:id="1" w:name="_GoBack"/>
      <w:bookmarkEnd w:id="1"/>
      <w:r>
        <w:rPr>
          <w:rFonts w:hint="eastAsia" w:ascii="仿宋_GB2312" w:eastAsia="仿宋_GB2312"/>
          <w:bCs/>
          <w:kern w:val="32"/>
          <w:sz w:val="32"/>
          <w:szCs w:val="32"/>
        </w:rPr>
        <w:t xml:space="preserve">号                         </w:t>
      </w:r>
    </w:p>
    <w:p>
      <w:pPr>
        <w:spacing w:line="540" w:lineRule="exact"/>
        <w:rPr>
          <w:rFonts w:eastAsia="仿宋_GB2312"/>
          <w:kern w:val="32"/>
          <w:sz w:val="32"/>
          <w:u w:val="single"/>
        </w:rPr>
      </w:pPr>
    </w:p>
    <w:p>
      <w:pPr>
        <w:tabs>
          <w:tab w:val="left" w:pos="800"/>
        </w:tabs>
        <w:suppressAutoHyphens/>
        <w:spacing w:line="540" w:lineRule="exact"/>
        <w:ind w:firstLine="641"/>
        <w:rPr>
          <w:rFonts w:ascii="仿宋_GB2312" w:hAnsi="仿宋_GB2312" w:eastAsia="仿宋_GB2312" w:cs="仿宋_GB2312"/>
          <w:bCs/>
          <w:color w:val="000000"/>
          <w:kern w:val="32"/>
          <w:sz w:val="32"/>
          <w:szCs w:val="32"/>
          <w:lang w:eastAsia="zh-Hans"/>
        </w:rPr>
      </w:pPr>
      <w:r>
        <w:rPr>
          <w:rFonts w:hint="eastAsia" w:eastAsia="黑体"/>
          <w:color w:val="000000"/>
          <w:kern w:val="32"/>
          <w:sz w:val="32"/>
        </w:rPr>
        <w:t>申请人：</w:t>
      </w:r>
      <w:r>
        <w:rPr>
          <w:rFonts w:ascii="仿宋_GB2312" w:hAnsi="仿宋_GB2312" w:eastAsia="仿宋_GB2312" w:cs="仿宋_GB2312"/>
          <w:bCs/>
          <w:color w:val="000000"/>
          <w:kern w:val="32"/>
          <w:sz w:val="32"/>
          <w:szCs w:val="32"/>
          <w:lang w:eastAsia="zh-Hans"/>
        </w:rPr>
        <w:t>杜</w:t>
      </w:r>
      <w:r>
        <w:rPr>
          <w:rFonts w:hint="eastAsia" w:ascii="仿宋_GB2312" w:hAnsi="仿宋_GB2312" w:eastAsia="仿宋_GB2312" w:cs="仿宋_GB2312"/>
          <w:bCs/>
          <w:color w:val="000000"/>
          <w:kern w:val="32"/>
          <w:sz w:val="32"/>
          <w:szCs w:val="32"/>
          <w:lang w:eastAsia="zh-Hans"/>
        </w:rPr>
        <w:t>某</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eastAsia="黑体"/>
          <w:kern w:val="32"/>
          <w:sz w:val="32"/>
        </w:rPr>
        <w:t>被申请人：</w:t>
      </w:r>
      <w:r>
        <w:rPr>
          <w:rFonts w:hint="eastAsia" w:ascii="仿宋_GB2312" w:hAnsi="仿宋_GB2312" w:eastAsia="仿宋_GB2312" w:cs="仿宋_GB2312"/>
          <w:bCs/>
          <w:color w:val="000000"/>
          <w:kern w:val="32"/>
          <w:sz w:val="32"/>
          <w:szCs w:val="32"/>
        </w:rPr>
        <w:t>深圳市社会保险基金管理局</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地址：深圳市福田区深南大道8005号深圳人才园</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法定代表人：</w:t>
      </w:r>
      <w:r>
        <w:rPr>
          <w:rFonts w:ascii="仿宋_GB2312" w:hAnsi="仿宋_GB2312" w:eastAsia="仿宋_GB2312" w:cs="仿宋_GB2312"/>
          <w:bCs/>
          <w:color w:val="000000"/>
          <w:kern w:val="32"/>
          <w:sz w:val="32"/>
          <w:szCs w:val="32"/>
        </w:rPr>
        <w:t>唐征勋</w:t>
      </w:r>
      <w:r>
        <w:rPr>
          <w:rFonts w:hint="eastAsia" w:ascii="仿宋_GB2312" w:hAnsi="仿宋_GB2312" w:eastAsia="仿宋_GB2312" w:cs="仿宋_GB2312"/>
          <w:bCs/>
          <w:color w:val="000000"/>
          <w:kern w:val="32"/>
          <w:sz w:val="32"/>
          <w:szCs w:val="32"/>
        </w:rPr>
        <w:t>，局长</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委托代理人：</w:t>
      </w:r>
      <w:r>
        <w:rPr>
          <w:rFonts w:ascii="仿宋_GB2312" w:hAnsi="仿宋_GB2312" w:eastAsia="仿宋_GB2312" w:cs="仿宋_GB2312"/>
          <w:bCs/>
          <w:color w:val="000000"/>
          <w:kern w:val="32"/>
          <w:sz w:val="32"/>
          <w:szCs w:val="32"/>
        </w:rPr>
        <w:t>池俊斌</w:t>
      </w:r>
      <w:r>
        <w:rPr>
          <w:rFonts w:hint="eastAsia" w:ascii="仿宋_GB2312" w:hAnsi="仿宋_GB2312" w:eastAsia="仿宋_GB2312" w:cs="仿宋_GB2312"/>
          <w:bCs/>
          <w:color w:val="000000"/>
          <w:kern w:val="32"/>
          <w:sz w:val="32"/>
          <w:szCs w:val="32"/>
        </w:rPr>
        <w:t>、</w:t>
      </w:r>
      <w:r>
        <w:rPr>
          <w:rFonts w:ascii="仿宋_GB2312" w:hAnsi="仿宋_GB2312" w:eastAsia="仿宋_GB2312" w:cs="仿宋_GB2312"/>
          <w:bCs/>
          <w:color w:val="000000"/>
          <w:kern w:val="32"/>
          <w:sz w:val="32"/>
          <w:szCs w:val="32"/>
        </w:rPr>
        <w:t>罗嘉森</w:t>
      </w:r>
      <w:r>
        <w:rPr>
          <w:rFonts w:hint="eastAsia" w:ascii="仿宋_GB2312" w:hAnsi="仿宋_GB2312" w:eastAsia="仿宋_GB2312" w:cs="仿宋_GB2312"/>
          <w:bCs/>
          <w:color w:val="000000"/>
          <w:kern w:val="32"/>
          <w:sz w:val="32"/>
          <w:szCs w:val="32"/>
        </w:rPr>
        <w:t>，广东中全律师事务所律师</w:t>
      </w:r>
    </w:p>
    <w:p>
      <w:pPr>
        <w:tabs>
          <w:tab w:val="left" w:pos="800"/>
        </w:tabs>
        <w:suppressAutoHyphens/>
        <w:spacing w:line="540" w:lineRule="exact"/>
        <w:ind w:firstLine="641"/>
        <w:rPr>
          <w:rFonts w:ascii="仿宋_GB2312" w:hAnsi="仿宋_GB2312" w:eastAsia="仿宋_GB2312"/>
          <w:kern w:val="32"/>
          <w:sz w:val="32"/>
          <w:szCs w:val="24"/>
        </w:rPr>
      </w:pP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lang w:eastAsia="ar-SA"/>
        </w:rPr>
        <w:t>申请人</w:t>
      </w:r>
      <w:r>
        <w:rPr>
          <w:rFonts w:hint="eastAsia" w:ascii="仿宋_GB2312" w:hAnsi="仿宋_GB2312" w:eastAsia="仿宋_GB2312" w:cs="仿宋_GB2312"/>
          <w:bCs/>
          <w:color w:val="000000"/>
          <w:kern w:val="32"/>
          <w:sz w:val="32"/>
          <w:szCs w:val="32"/>
        </w:rPr>
        <w:t>不服被申请人于202</w:t>
      </w:r>
      <w:r>
        <w:rPr>
          <w:rFonts w:ascii="仿宋_GB2312" w:hAnsi="仿宋_GB2312" w:eastAsia="仿宋_GB2312" w:cs="仿宋_GB2312"/>
          <w:bCs/>
          <w:color w:val="000000"/>
          <w:kern w:val="32"/>
          <w:sz w:val="32"/>
          <w:szCs w:val="32"/>
        </w:rPr>
        <w:t>4</w:t>
      </w:r>
      <w:r>
        <w:rPr>
          <w:rFonts w:hint="eastAsia" w:ascii="仿宋_GB2312" w:hAnsi="仿宋_GB2312" w:eastAsia="仿宋_GB2312" w:cs="仿宋_GB2312"/>
          <w:bCs/>
          <w:color w:val="000000"/>
          <w:kern w:val="32"/>
          <w:sz w:val="32"/>
          <w:szCs w:val="32"/>
        </w:rPr>
        <w:t>年</w:t>
      </w:r>
      <w:r>
        <w:rPr>
          <w:rFonts w:ascii="仿宋_GB2312" w:hAnsi="仿宋_GB2312" w:eastAsia="仿宋_GB2312" w:cs="仿宋_GB2312"/>
          <w:bCs/>
          <w:color w:val="000000"/>
          <w:kern w:val="32"/>
          <w:sz w:val="32"/>
          <w:szCs w:val="32"/>
        </w:rPr>
        <w:t>1</w:t>
      </w:r>
      <w:r>
        <w:rPr>
          <w:rFonts w:hint="eastAsia" w:ascii="仿宋_GB2312" w:hAnsi="仿宋_GB2312" w:eastAsia="仿宋_GB2312" w:cs="仿宋_GB2312"/>
          <w:bCs/>
          <w:color w:val="000000"/>
          <w:kern w:val="32"/>
          <w:sz w:val="32"/>
          <w:szCs w:val="32"/>
        </w:rPr>
        <w:t>月</w:t>
      </w:r>
      <w:r>
        <w:rPr>
          <w:rFonts w:ascii="仿宋_GB2312" w:hAnsi="仿宋_GB2312" w:eastAsia="仿宋_GB2312" w:cs="仿宋_GB2312"/>
          <w:bCs/>
          <w:color w:val="000000"/>
          <w:kern w:val="32"/>
          <w:sz w:val="32"/>
          <w:szCs w:val="32"/>
        </w:rPr>
        <w:t>5</w:t>
      </w:r>
      <w:r>
        <w:rPr>
          <w:rFonts w:hint="eastAsia" w:ascii="仿宋_GB2312" w:hAnsi="仿宋_GB2312" w:eastAsia="仿宋_GB2312" w:cs="仿宋_GB2312"/>
          <w:bCs/>
          <w:color w:val="000000"/>
          <w:kern w:val="32"/>
          <w:sz w:val="32"/>
          <w:szCs w:val="32"/>
        </w:rPr>
        <w:t>日</w:t>
      </w:r>
      <w:r>
        <w:rPr>
          <w:rFonts w:ascii="仿宋_GB2312" w:hAnsi="仿宋_GB2312" w:eastAsia="仿宋_GB2312" w:cs="仿宋_GB2312"/>
          <w:bCs/>
          <w:color w:val="000000"/>
          <w:kern w:val="32"/>
          <w:sz w:val="32"/>
          <w:szCs w:val="32"/>
        </w:rPr>
        <w:t>以</w:t>
      </w:r>
      <w:r>
        <w:rPr>
          <w:rFonts w:hint="eastAsia" w:ascii="仿宋_GB2312" w:hAnsi="仿宋_GB2312" w:eastAsia="仿宋_GB2312" w:cs="仿宋_GB2312"/>
          <w:bCs/>
          <w:color w:val="000000"/>
          <w:kern w:val="32"/>
          <w:sz w:val="32"/>
          <w:szCs w:val="32"/>
        </w:rPr>
        <w:t>深社保职养金</w:t>
      </w:r>
      <w:r>
        <w:rPr>
          <w:rFonts w:ascii="仿宋_GB2312" w:hAnsi="仿宋_GB2312" w:eastAsia="仿宋_GB2312" w:cs="仿宋_GB2312"/>
          <w:bCs/>
          <w:color w:val="000000"/>
          <w:kern w:val="32"/>
          <w:sz w:val="32"/>
          <w:szCs w:val="32"/>
        </w:rPr>
        <w:t>核</w:t>
      </w:r>
      <w:r>
        <w:rPr>
          <w:rFonts w:hint="eastAsia" w:ascii="仿宋_GB2312" w:hAnsi="仿宋_GB2312" w:eastAsia="仿宋_GB2312" w:cs="仿宋_GB2312"/>
          <w:bCs/>
          <w:color w:val="000000"/>
          <w:kern w:val="32"/>
          <w:sz w:val="32"/>
          <w:szCs w:val="32"/>
        </w:rPr>
        <w:t>决字〔202</w:t>
      </w:r>
      <w:r>
        <w:rPr>
          <w:rFonts w:ascii="仿宋_GB2312" w:hAnsi="仿宋_GB2312" w:eastAsia="仿宋_GB2312" w:cs="仿宋_GB2312"/>
          <w:bCs/>
          <w:color w:val="000000"/>
          <w:kern w:val="32"/>
          <w:sz w:val="32"/>
          <w:szCs w:val="32"/>
        </w:rPr>
        <w:t>4</w:t>
      </w:r>
      <w:r>
        <w:rPr>
          <w:rFonts w:hint="eastAsia" w:ascii="仿宋_GB2312" w:hAnsi="仿宋_GB2312" w:eastAsia="仿宋_GB2312" w:cs="仿宋_GB2312"/>
          <w:bCs/>
          <w:color w:val="000000"/>
          <w:kern w:val="32"/>
          <w:sz w:val="32"/>
          <w:szCs w:val="32"/>
        </w:rPr>
        <w:t>〕××号《深圳市企业职工养老保险养老金</w:t>
      </w:r>
      <w:r>
        <w:rPr>
          <w:rFonts w:ascii="仿宋_GB2312" w:hAnsi="仿宋_GB2312" w:eastAsia="仿宋_GB2312" w:cs="仿宋_GB2312"/>
          <w:bCs/>
          <w:color w:val="000000"/>
          <w:kern w:val="32"/>
          <w:sz w:val="32"/>
          <w:szCs w:val="32"/>
        </w:rPr>
        <w:t>核准</w:t>
      </w:r>
      <w:r>
        <w:rPr>
          <w:rFonts w:hint="eastAsia" w:ascii="仿宋_GB2312" w:hAnsi="仿宋_GB2312" w:eastAsia="仿宋_GB2312" w:cs="仿宋_GB2312"/>
          <w:bCs/>
          <w:color w:val="000000"/>
          <w:kern w:val="32"/>
          <w:sz w:val="32"/>
          <w:szCs w:val="32"/>
        </w:rPr>
        <w:t>决定书》</w:t>
      </w:r>
      <w:r>
        <w:rPr>
          <w:rFonts w:ascii="仿宋_GB2312" w:hAnsi="仿宋_GB2312" w:eastAsia="仿宋_GB2312" w:cs="仿宋_GB2312"/>
          <w:bCs/>
          <w:color w:val="000000"/>
          <w:kern w:val="32"/>
          <w:sz w:val="32"/>
          <w:szCs w:val="32"/>
        </w:rPr>
        <w:t>作出的行政行为</w:t>
      </w:r>
      <w:r>
        <w:rPr>
          <w:rFonts w:hint="eastAsia" w:ascii="仿宋_GB2312" w:hAnsi="仿宋_GB2312" w:eastAsia="仿宋_GB2312" w:cs="仿宋_GB2312"/>
          <w:bCs/>
          <w:color w:val="000000"/>
          <w:kern w:val="32"/>
          <w:sz w:val="32"/>
          <w:szCs w:val="32"/>
          <w:lang w:eastAsia="ar-SA"/>
        </w:rPr>
        <w:t>，向本机关申请行政复议，本机关依法受理</w:t>
      </w:r>
      <w:r>
        <w:rPr>
          <w:rFonts w:ascii="仿宋_GB2312" w:hAnsi="仿宋_GB2312" w:eastAsia="仿宋_GB2312" w:cs="仿宋_GB2312"/>
          <w:bCs/>
          <w:color w:val="000000"/>
          <w:kern w:val="32"/>
          <w:sz w:val="32"/>
          <w:szCs w:val="32"/>
          <w:lang w:eastAsia="ar-SA"/>
        </w:rPr>
        <w:t>，</w:t>
      </w:r>
      <w:r>
        <w:rPr>
          <w:rFonts w:ascii="仿宋_GB2312" w:hAnsi="仿宋_GB2312" w:eastAsia="仿宋_GB2312" w:cs="仿宋_GB2312"/>
          <w:bCs/>
          <w:color w:val="000000"/>
          <w:kern w:val="32"/>
          <w:sz w:val="32"/>
          <w:szCs w:val="32"/>
          <w:lang w:eastAsia="zh-Hans"/>
        </w:rPr>
        <w:t>并适用普通程序审理</w:t>
      </w:r>
      <w:r>
        <w:rPr>
          <w:rFonts w:hint="eastAsia" w:ascii="仿宋_GB2312" w:hAnsi="仿宋_GB2312" w:eastAsia="仿宋_GB2312" w:cs="仿宋_GB2312"/>
          <w:bCs/>
          <w:color w:val="000000"/>
          <w:kern w:val="32"/>
          <w:sz w:val="32"/>
          <w:szCs w:val="32"/>
          <w:lang w:eastAsia="zh-Hans"/>
        </w:rPr>
        <w:t>。</w:t>
      </w:r>
      <w:r>
        <w:rPr>
          <w:rFonts w:hint="eastAsia" w:ascii="仿宋_GB2312" w:hAnsi="仿宋_GB2312" w:eastAsia="仿宋_GB2312" w:cs="仿宋_GB2312"/>
          <w:bCs/>
          <w:color w:val="000000"/>
          <w:kern w:val="32"/>
          <w:sz w:val="32"/>
          <w:szCs w:val="32"/>
          <w:lang w:eastAsia="ar-SA"/>
        </w:rPr>
        <w:t>被申请人向本机关提交了书面答复及</w:t>
      </w:r>
      <w:r>
        <w:rPr>
          <w:rFonts w:hint="eastAsia" w:ascii="仿宋_GB2312" w:hAnsi="仿宋_GB2312" w:eastAsia="仿宋_GB2312" w:cs="仿宋_GB2312"/>
          <w:bCs/>
          <w:color w:val="000000"/>
          <w:kern w:val="32"/>
          <w:sz w:val="32"/>
          <w:szCs w:val="32"/>
        </w:rPr>
        <w:t>作出该行政行为的</w:t>
      </w:r>
      <w:r>
        <w:rPr>
          <w:rFonts w:hint="eastAsia" w:ascii="仿宋_GB2312" w:hAnsi="仿宋_GB2312" w:eastAsia="仿宋_GB2312" w:cs="仿宋_GB2312"/>
          <w:bCs/>
          <w:color w:val="000000"/>
          <w:kern w:val="32"/>
          <w:sz w:val="32"/>
          <w:szCs w:val="32"/>
          <w:lang w:eastAsia="ar-SA"/>
        </w:rPr>
        <w:t>有关证据和依据，本案现已审理终结。</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黑体" w:hAnsi="黑体" w:eastAsia="黑体"/>
          <w:kern w:val="32"/>
          <w:sz w:val="32"/>
          <w:szCs w:val="24"/>
        </w:rPr>
        <w:t>申请人称：</w:t>
      </w:r>
      <w:r>
        <w:rPr>
          <w:rFonts w:ascii="仿宋_GB2312" w:hAnsi="仿宋_GB2312" w:eastAsia="仿宋_GB2312" w:cs="仿宋_GB2312"/>
          <w:bCs/>
          <w:color w:val="000000"/>
          <w:kern w:val="32"/>
          <w:sz w:val="32"/>
          <w:szCs w:val="32"/>
          <w:lang w:eastAsia="ar-SA"/>
        </w:rPr>
        <w:t>过渡性养老金算少了。</w:t>
      </w:r>
      <w:r>
        <w:rPr>
          <w:rFonts w:hint="eastAsia" w:ascii="仿宋_GB2312" w:hAnsi="仿宋_GB2312" w:eastAsia="仿宋_GB2312" w:cs="仿宋_GB2312"/>
          <w:bCs/>
          <w:color w:val="000000"/>
          <w:kern w:val="32"/>
          <w:sz w:val="32"/>
          <w:szCs w:val="32"/>
        </w:rPr>
        <w:t>请求：</w:t>
      </w:r>
      <w:r>
        <w:rPr>
          <w:rFonts w:ascii="仿宋_GB2312" w:hAnsi="仿宋_GB2312" w:eastAsia="仿宋_GB2312" w:cs="仿宋_GB2312"/>
          <w:bCs/>
          <w:color w:val="000000"/>
          <w:kern w:val="32"/>
          <w:sz w:val="32"/>
          <w:szCs w:val="32"/>
        </w:rPr>
        <w:t>变更涉案</w:t>
      </w:r>
      <w:r>
        <w:rPr>
          <w:rFonts w:hint="eastAsia" w:ascii="仿宋_GB2312" w:hAnsi="仿宋_GB2312" w:eastAsia="仿宋_GB2312" w:cs="仿宋_GB2312"/>
          <w:bCs/>
          <w:color w:val="000000"/>
          <w:kern w:val="32"/>
          <w:sz w:val="32"/>
          <w:szCs w:val="32"/>
        </w:rPr>
        <w:t>《深圳市企业职工养老保险养老金</w:t>
      </w:r>
      <w:r>
        <w:rPr>
          <w:rFonts w:ascii="仿宋_GB2312" w:hAnsi="仿宋_GB2312" w:eastAsia="仿宋_GB2312" w:cs="仿宋_GB2312"/>
          <w:bCs/>
          <w:color w:val="000000"/>
          <w:kern w:val="32"/>
          <w:sz w:val="32"/>
          <w:szCs w:val="32"/>
        </w:rPr>
        <w:t>核准</w:t>
      </w:r>
      <w:r>
        <w:rPr>
          <w:rFonts w:hint="eastAsia" w:ascii="仿宋_GB2312" w:hAnsi="仿宋_GB2312" w:eastAsia="仿宋_GB2312" w:cs="仿宋_GB2312"/>
          <w:bCs/>
          <w:color w:val="000000"/>
          <w:kern w:val="32"/>
          <w:sz w:val="32"/>
          <w:szCs w:val="32"/>
        </w:rPr>
        <w:t>决定书》。</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黑体" w:hAnsi="黑体" w:eastAsia="黑体"/>
          <w:kern w:val="32"/>
          <w:sz w:val="32"/>
          <w:szCs w:val="24"/>
        </w:rPr>
        <w:t>被申请人答复称：</w:t>
      </w:r>
      <w:r>
        <w:rPr>
          <w:rFonts w:hint="eastAsia" w:ascii="仿宋_GB2312" w:hAnsi="仿宋_GB2312" w:eastAsia="仿宋_GB2312" w:cs="仿宋_GB2312"/>
          <w:bCs/>
          <w:color w:val="000000"/>
          <w:kern w:val="32"/>
          <w:sz w:val="32"/>
          <w:szCs w:val="32"/>
        </w:rPr>
        <w:t>一、</w:t>
      </w:r>
      <w:r>
        <w:rPr>
          <w:rFonts w:ascii="仿宋_GB2312" w:hAnsi="仿宋_GB2312" w:eastAsia="仿宋_GB2312" w:cs="仿宋_GB2312"/>
          <w:bCs/>
          <w:color w:val="000000"/>
          <w:kern w:val="32"/>
          <w:sz w:val="32"/>
          <w:szCs w:val="32"/>
        </w:rPr>
        <w:t>被申请人作出行政行为的</w:t>
      </w:r>
      <w:r>
        <w:rPr>
          <w:rFonts w:hint="eastAsia" w:ascii="仿宋_GB2312" w:hAnsi="仿宋_GB2312" w:eastAsia="仿宋_GB2312" w:cs="仿宋_GB2312"/>
          <w:bCs/>
          <w:color w:val="000000"/>
          <w:kern w:val="32"/>
          <w:sz w:val="32"/>
          <w:szCs w:val="32"/>
        </w:rPr>
        <w:t>依据</w:t>
      </w:r>
      <w:r>
        <w:rPr>
          <w:rFonts w:ascii="仿宋_GB2312" w:hAnsi="仿宋_GB2312" w:eastAsia="仿宋_GB2312" w:cs="仿宋_GB2312"/>
          <w:bCs/>
          <w:color w:val="000000"/>
          <w:kern w:val="32"/>
          <w:sz w:val="32"/>
          <w:szCs w:val="32"/>
        </w:rPr>
        <w:t>。</w:t>
      </w:r>
      <w:r>
        <w:rPr>
          <w:rFonts w:hint="eastAsia" w:ascii="仿宋_GB2312" w:hAnsi="仿宋_GB2312" w:eastAsia="仿宋_GB2312" w:cs="仿宋_GB2312"/>
          <w:bCs/>
          <w:color w:val="000000"/>
          <w:kern w:val="32"/>
          <w:sz w:val="32"/>
          <w:szCs w:val="32"/>
        </w:rPr>
        <w:t xml:space="preserve">                                                                                                                                                                                                                                                                                                                                                                                                                                                                                                                                                                                                                                                                                                                                                                                                                                                                                                                                                                                       </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于2022年4月26日作出深社保职养视核决字〔2022〕××号《深圳市企业职工养老保险视同缴费年限核准决定书》，核定</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1981年10月至1984年11月（军龄）、1984年12月至1993年12月为基本养老保险视同缴费年限（合计12年3月）。申请人于2023年5月16日向</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申请办理退休手续</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在审核申请人的《企业职工养老保险养老金申请表》、身份户籍信息、职工原始档案、参保缴费记录等材料后，确认</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的出生年月为1963年5月（档案记载）</w:t>
      </w:r>
      <w:r>
        <w:rPr>
          <w:rFonts w:ascii="仿宋_GB2312" w:hAnsi="仿宋_GB2312" w:eastAsia="仿宋_GB2312" w:cs="仿宋_GB2312"/>
          <w:bCs/>
          <w:color w:val="000000"/>
          <w:kern w:val="32"/>
          <w:sz w:val="32"/>
          <w:szCs w:val="32"/>
        </w:rPr>
        <w:t>。</w:t>
      </w:r>
      <w:r>
        <w:rPr>
          <w:rFonts w:hint="eastAsia" w:ascii="仿宋_GB2312" w:hAnsi="仿宋_GB2312" w:eastAsia="仿宋_GB2312" w:cs="仿宋_GB2312"/>
          <w:bCs/>
          <w:color w:val="000000"/>
          <w:kern w:val="32"/>
          <w:sz w:val="32"/>
          <w:szCs w:val="32"/>
        </w:rPr>
        <w:t>经审核</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的职工原始档案以及参保记录，</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依法认定</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于1981年10月起参加工作（参军时间）。在审核申请人的参保信息、身份证、社会保险历年参保缴费明细表（个人）等材料后，</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根据《深圳经济特区社会养老保险条例》第二十条、第二十一条、第二十二条、第二十三条、第二十五条和《〈深圳经济特区社会养老保险条例〉实施细则》第十二条、第十五条、第十六条、第十七条、第二十四条、第二十五条、第二十六条、第二十七条及《深圳市人民政府关于印发规范企业职工基本养老保险省级统筹若干问题处理办法的通知》（深府规〔2022〕4号，以下简称《深圳办法》）的规定，</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作出决定书，其中列明申请人从2023年6月起按月领取：统筹养老金、个人</w:t>
      </w:r>
      <w:r>
        <w:rPr>
          <w:rFonts w:ascii="仿宋_GB2312" w:hAnsi="仿宋_GB2312" w:eastAsia="仿宋_GB2312" w:cs="仿宋_GB2312"/>
          <w:bCs/>
          <w:color w:val="000000"/>
          <w:kern w:val="32"/>
          <w:sz w:val="32"/>
          <w:szCs w:val="32"/>
        </w:rPr>
        <w:t>账户</w:t>
      </w:r>
      <w:r>
        <w:rPr>
          <w:rFonts w:hint="eastAsia" w:ascii="仿宋_GB2312" w:hAnsi="仿宋_GB2312" w:eastAsia="仿宋_GB2312" w:cs="仿宋_GB2312"/>
          <w:bCs/>
          <w:color w:val="000000"/>
          <w:kern w:val="32"/>
          <w:sz w:val="32"/>
          <w:szCs w:val="32"/>
        </w:rPr>
        <w:t>养老金、过渡性养老金、过渡性养老金调整额等共计3951.21元养老保险待遇，并核发其养老保险待遇。</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二、申请人的复议</w:t>
      </w:r>
      <w:r>
        <w:rPr>
          <w:rFonts w:ascii="仿宋_GB2312" w:hAnsi="仿宋_GB2312" w:eastAsia="仿宋_GB2312" w:cs="仿宋_GB2312"/>
          <w:bCs/>
          <w:color w:val="000000"/>
          <w:kern w:val="32"/>
          <w:sz w:val="32"/>
          <w:szCs w:val="32"/>
        </w:rPr>
        <w:t>理由</w:t>
      </w:r>
      <w:r>
        <w:rPr>
          <w:rFonts w:hint="eastAsia" w:ascii="仿宋_GB2312" w:hAnsi="仿宋_GB2312" w:eastAsia="仿宋_GB2312" w:cs="仿宋_GB2312"/>
          <w:bCs/>
          <w:color w:val="000000"/>
          <w:kern w:val="32"/>
          <w:sz w:val="32"/>
          <w:szCs w:val="32"/>
        </w:rPr>
        <w:t>不成立</w:t>
      </w:r>
      <w:r>
        <w:rPr>
          <w:rFonts w:ascii="仿宋_GB2312" w:hAnsi="仿宋_GB2312" w:eastAsia="仿宋_GB2312" w:cs="仿宋_GB2312"/>
          <w:bCs/>
          <w:color w:val="000000"/>
          <w:kern w:val="32"/>
          <w:sz w:val="32"/>
          <w:szCs w:val="32"/>
        </w:rPr>
        <w:t>。申请人主张：其过渡性养老金算少了，请求予以</w:t>
      </w:r>
      <w:r>
        <w:rPr>
          <w:rFonts w:hint="eastAsia" w:ascii="仿宋_GB2312" w:hAnsi="仿宋_GB2312" w:eastAsia="仿宋_GB2312" w:cs="仿宋_GB2312"/>
          <w:bCs/>
          <w:color w:val="000000"/>
          <w:kern w:val="32"/>
          <w:sz w:val="32"/>
          <w:szCs w:val="32"/>
        </w:rPr>
        <w:t>变</w:t>
      </w:r>
      <w:r>
        <w:rPr>
          <w:rFonts w:ascii="仿宋_GB2312" w:hAnsi="仿宋_GB2312" w:eastAsia="仿宋_GB2312" w:cs="仿宋_GB2312"/>
          <w:bCs/>
          <w:color w:val="000000"/>
          <w:kern w:val="32"/>
          <w:sz w:val="32"/>
          <w:szCs w:val="32"/>
        </w:rPr>
        <w:t>更。对于上述主张，被申请人认为：首先，被申请人的职责是根据《</w:t>
      </w:r>
      <w:r>
        <w:rPr>
          <w:rFonts w:hint="eastAsia" w:ascii="仿宋_GB2312" w:hAnsi="仿宋_GB2312" w:eastAsia="仿宋_GB2312" w:cs="仿宋_GB2312"/>
          <w:bCs/>
          <w:color w:val="000000"/>
          <w:kern w:val="32"/>
          <w:sz w:val="32"/>
          <w:szCs w:val="32"/>
        </w:rPr>
        <w:t>深圳经济特区社会养老保险条例</w:t>
      </w:r>
      <w:r>
        <w:rPr>
          <w:rFonts w:ascii="仿宋_GB2312" w:hAnsi="仿宋_GB2312" w:eastAsia="仿宋_GB2312" w:cs="仿宋_GB2312"/>
          <w:bCs/>
          <w:color w:val="000000"/>
          <w:kern w:val="32"/>
          <w:sz w:val="32"/>
          <w:szCs w:val="32"/>
        </w:rPr>
        <w:t>》</w:t>
      </w:r>
      <w:r>
        <w:rPr>
          <w:rFonts w:hint="eastAsia" w:ascii="仿宋_GB2312" w:hAnsi="仿宋_GB2312" w:eastAsia="仿宋_GB2312" w:cs="仿宋_GB2312"/>
          <w:bCs/>
          <w:color w:val="000000"/>
          <w:kern w:val="32"/>
          <w:sz w:val="32"/>
          <w:szCs w:val="32"/>
        </w:rPr>
        <w:t>《〈深圳经济特区社会养老保险条例〉实施细则》</w:t>
      </w:r>
      <w:r>
        <w:rPr>
          <w:rFonts w:ascii="仿宋_GB2312" w:hAnsi="仿宋_GB2312" w:eastAsia="仿宋_GB2312" w:cs="仿宋_GB2312"/>
          <w:bCs/>
          <w:color w:val="000000"/>
          <w:kern w:val="32"/>
          <w:sz w:val="32"/>
          <w:szCs w:val="32"/>
        </w:rPr>
        <w:t>、省府制定的养老保险政策法规核定参保人的养老保险待遇，主要政策法规依据为：《广东省人民政府关于贯彻国务院完善企业职工基本养老保险制度决定的通知》（粤府〔2006〕96号，以下简称《省办法》）、《广东省人民政府关于完善企业职工基本养老保险过渡性养老金计发办法等事项的通知》（粤府函〔2021〕294号，以下简称《通知》）、《深圳办法》。《深圳办法》第二条第（四）项规定：“1994年1月后由外市进入我市且本人视同缴费年限截止时点年度转出地为省内其他地市的参保人，本人视同缴费指数按以下办法确定：本人视同缴费指数＝本人视同缴费年限截止时点年度原单位所在地级以上市城镇非私营单位在岗职工月平均工资÷相同年度广东省城镇非私营单位在岗职工月平均工资。”故申请人应按照上述规定核定有关视同缴费指数，即1981年10月至1993年12月期间的月缴费指数均核定为0.512（1993年度河源城镇非私营单位在岗职工月平均工资227元÷1993年度广东省城镇非私营单位在岗职工月平均工资444元）。据</w:t>
      </w:r>
      <w:r>
        <w:rPr>
          <w:rFonts w:hint="eastAsia" w:ascii="仿宋_GB2312" w:hAnsi="仿宋_GB2312" w:eastAsia="仿宋_GB2312" w:cs="仿宋_GB2312"/>
          <w:bCs/>
          <w:color w:val="000000"/>
          <w:kern w:val="32"/>
          <w:sz w:val="32"/>
          <w:szCs w:val="32"/>
        </w:rPr>
        <w:t>《〈深圳经济特区社会养老保险条例〉实施细则》</w:t>
      </w:r>
      <w:r>
        <w:rPr>
          <w:rFonts w:ascii="仿宋_GB2312" w:hAnsi="仿宋_GB2312" w:eastAsia="仿宋_GB2312" w:cs="仿宋_GB2312"/>
          <w:bCs/>
          <w:color w:val="000000"/>
          <w:kern w:val="32"/>
          <w:sz w:val="32"/>
          <w:szCs w:val="32"/>
        </w:rPr>
        <w:t>第十六条第三款规定：“参保人基本养老保险每月缴费指数为：参保人每月缴费工资÷缴费时上年度本市在岗职工月平均工资”，故即1994年1月至2023年5月期间的月缴费指数均据实核定。依照上述规定，经复核申请人的月平均缴费指数（0.3911）并无偏差。</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ascii="仿宋_GB2312" w:hAnsi="仿宋_GB2312" w:eastAsia="仿宋_GB2312" w:cs="仿宋_GB2312"/>
          <w:bCs/>
          <w:color w:val="000000"/>
          <w:kern w:val="32"/>
          <w:sz w:val="32"/>
          <w:szCs w:val="32"/>
        </w:rPr>
        <w:t>其次，关于“过渡性养老金”，根据原2020年修正的《深圳经济特区社会养老保险条例》第二十二条第一款第（三）项规定：“过渡性养老金：本人指数化月平均缴费工资乘以享受比例。1992年7月31日前缴费年限未超过二十五年的，其享受比例为：1992年7月31日前缴费年限乘以百分之一点二；1992年7月31日前缴费年限超过二十五年的，其享受比例为：1992年7月31日前缴费年限减去二十五后乘以百分之一，再加上百分之三十”。粤劳社电〔2009〕32号《广东省劳动和社会保障厅关于改革完善企业职工养老保险基本养老金计发办法的通知》第三条规定：“统一按每人每月加发100元的标准执行过渡性养老金的标准”；《深圳市人力资源和社会保障局、深圳市财政委员会关于建立企业职工养老保险缴费年限津贴的通知》（深人社规〔2014〕5号）第一条规定：“符合在我市按月领取基本养老金条件的企业退休人员，缴费年限（含视同缴费年限和一次性缴费年限，下同）每满一年计发4元/月缴费年限津贴，不满一年不计发。”故被申请人将上述规定的过渡性养老金和缴费年限津贴列入申请人的过渡性养老金，列式为：3868.91×0.13+34×4+100=738.96元。</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ascii="仿宋_GB2312" w:hAnsi="仿宋_GB2312" w:eastAsia="仿宋_GB2312" w:cs="仿宋_GB2312"/>
          <w:bCs/>
          <w:color w:val="000000"/>
          <w:kern w:val="32"/>
          <w:sz w:val="32"/>
          <w:szCs w:val="32"/>
        </w:rPr>
        <w:t>最后，关于“过渡性养老金调整额”，按照《通知》“一、完善过渡性养老金计发办法（一）1998年6月30日以前参保的人员，首次领取的过渡性养老金，按以下办法计算：首次领取的过渡性养老金月标准＝退休时我市企业职工基本养老金计发基数×本人1998年6月以前的平均缴费指数×（视同缴费年限＋1998年6月前实际缴费年限）×1.2%。本人1998年6月以前的平均缴费指数＝（本人视同缴费指数×视同缴费年限＋1994年1月至1998年6月前的实际缴费指数平均值×1994年1月至1998年6月前实际缴费年限）÷（视同缴费年限＋1994年1月至1998年6月前实际缴费年限）……（三）设置5年的过渡期。为实现待遇水平平稳过渡，对按本办法规定计算的过渡性养老金（以下简称新办法）高于按原办法（原办法中涉及的计发基数为我市公布的企业职工基本养老金计发基数）计算的部分，用5年时间逐年过渡到全额发放：第一年（2021年）发放30%，第二年（2022年）发放50%，第三年（2023年）发放70%，第四年（2024年）发放90%，第五年（2025年）及以后发放100%；对按新办法计算的过渡性养老金小于或等于原办法的，继续按原办法计算的过渡性养老金发放，2026年1月1日及以后首次领取基本养老金的参保人统一按新办法计算过渡性养老金。”申请人的过渡性养老金调整额计算公式为：[新办法过渡性养老金-原办法过渡性养老金(502.96)－缴费年限津贴（136）]×过渡性养老金加发比例(0.7)=139.04元。新办法过渡性养老金=退休时职工基本养老金计发基数(11010.0)×本人1998年6月前的平均缴费指数(0.4475)×[视同缴费年限（12.2500）+1998年6月前实际缴费年限(1.92)]×1.2%。</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ascii="仿宋_GB2312" w:hAnsi="仿宋_GB2312" w:eastAsia="仿宋_GB2312" w:cs="仿宋_GB2312"/>
          <w:bCs/>
          <w:color w:val="000000"/>
          <w:kern w:val="32"/>
          <w:sz w:val="32"/>
          <w:szCs w:val="32"/>
        </w:rPr>
        <w:t>综上，根据以上事实与依据，被申请人认为申请人的请求没有依据,被申请人的行政行为符合深圳市历年所制定的基本养老保险法规与规章，与国家的退休政策相一致，申请人的诉求没有事实以及政策法规依据，请求依法维持。</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黑体"/>
          <w:kern w:val="32"/>
          <w:sz w:val="32"/>
        </w:rPr>
        <w:t>经查</w:t>
      </w:r>
      <w:r>
        <w:rPr>
          <w:rFonts w:ascii="仿宋_GB2312" w:hAnsi="仿宋_GB2312" w:eastAsia="黑体"/>
          <w:kern w:val="32"/>
          <w:sz w:val="32"/>
        </w:rPr>
        <w:t>：</w:t>
      </w:r>
      <w:r>
        <w:rPr>
          <w:rFonts w:ascii="仿宋_GB2312" w:hAnsi="仿宋_GB2312" w:eastAsia="仿宋_GB2312" w:cs="仿宋_GB2312"/>
          <w:bCs/>
          <w:color w:val="000000"/>
          <w:kern w:val="32"/>
          <w:sz w:val="32"/>
          <w:szCs w:val="32"/>
        </w:rPr>
        <w:t>2022年4月20日，申请人向被申请人申请核定养老保险视同缴费年限，并在《深圳市企业职工养老保险视同缴费年限核准申请表》“特殊情况说明”栏表示其身份证是1964年12月出生，档案是1963年5月出生，要求按档案日期办理退休。申请人档案中，有多处出生年月栏显示其出生时间为1963年5月。经审核，被申请人于2022年4月26日作出</w:t>
      </w:r>
      <w:r>
        <w:rPr>
          <w:rFonts w:hint="eastAsia" w:ascii="仿宋_GB2312" w:hAnsi="仿宋_GB2312" w:eastAsia="仿宋_GB2312" w:cs="仿宋_GB2312"/>
          <w:bCs/>
          <w:color w:val="000000"/>
          <w:kern w:val="32"/>
          <w:sz w:val="32"/>
          <w:szCs w:val="32"/>
        </w:rPr>
        <w:t>深社保职养视核决字〔2022〕××号《深圳市企业职工养老保险视同缴费年限核准决定书》，核定</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养老保险视同缴费年限</w:t>
      </w:r>
      <w:r>
        <w:rPr>
          <w:rFonts w:ascii="仿宋_GB2312" w:hAnsi="仿宋_GB2312" w:eastAsia="仿宋_GB2312" w:cs="仿宋_GB2312"/>
          <w:bCs/>
          <w:color w:val="000000"/>
          <w:kern w:val="32"/>
          <w:sz w:val="32"/>
          <w:szCs w:val="32"/>
        </w:rPr>
        <w:t>为：</w:t>
      </w:r>
      <w:r>
        <w:rPr>
          <w:rFonts w:hint="eastAsia" w:ascii="仿宋_GB2312" w:hAnsi="仿宋_GB2312" w:eastAsia="仿宋_GB2312" w:cs="仿宋_GB2312"/>
          <w:bCs/>
          <w:color w:val="000000"/>
          <w:kern w:val="32"/>
          <w:sz w:val="32"/>
          <w:szCs w:val="32"/>
        </w:rPr>
        <w:t>1981年10月至1984年11月（军龄）、1984年12月至1993年12月（合计12年3月）。</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2023年</w:t>
      </w:r>
      <w:r>
        <w:rPr>
          <w:rFonts w:ascii="仿宋_GB2312" w:hAnsi="仿宋_GB2312" w:eastAsia="仿宋_GB2312" w:cs="仿宋_GB2312"/>
          <w:bCs/>
          <w:color w:val="000000"/>
          <w:kern w:val="32"/>
          <w:sz w:val="32"/>
          <w:szCs w:val="32"/>
        </w:rPr>
        <w:t>5</w:t>
      </w:r>
      <w:r>
        <w:rPr>
          <w:rFonts w:hint="eastAsia" w:ascii="仿宋_GB2312" w:hAnsi="仿宋_GB2312" w:eastAsia="仿宋_GB2312" w:cs="仿宋_GB2312"/>
          <w:bCs/>
          <w:color w:val="000000"/>
          <w:kern w:val="32"/>
          <w:sz w:val="32"/>
          <w:szCs w:val="32"/>
        </w:rPr>
        <w:t>月1</w:t>
      </w:r>
      <w:r>
        <w:rPr>
          <w:rFonts w:ascii="仿宋_GB2312" w:hAnsi="仿宋_GB2312" w:eastAsia="仿宋_GB2312" w:cs="仿宋_GB2312"/>
          <w:bCs/>
          <w:color w:val="000000"/>
          <w:kern w:val="32"/>
          <w:sz w:val="32"/>
          <w:szCs w:val="32"/>
        </w:rPr>
        <w:t>6</w:t>
      </w:r>
      <w:r>
        <w:rPr>
          <w:rFonts w:hint="eastAsia" w:ascii="仿宋_GB2312" w:hAnsi="仿宋_GB2312" w:eastAsia="仿宋_GB2312" w:cs="仿宋_GB2312"/>
          <w:bCs/>
          <w:color w:val="000000"/>
          <w:kern w:val="32"/>
          <w:sz w:val="32"/>
          <w:szCs w:val="32"/>
        </w:rPr>
        <w:t>日，</w:t>
      </w:r>
      <w:r>
        <w:rPr>
          <w:rFonts w:ascii="仿宋_GB2312" w:hAnsi="仿宋_GB2312" w:eastAsia="仿宋_GB2312" w:cs="仿宋_GB2312"/>
          <w:bCs/>
          <w:color w:val="000000"/>
          <w:kern w:val="32"/>
          <w:sz w:val="32"/>
          <w:szCs w:val="32"/>
        </w:rPr>
        <w:t>申请人</w:t>
      </w:r>
      <w:r>
        <w:rPr>
          <w:rFonts w:hint="eastAsia" w:ascii="仿宋_GB2312" w:hAnsi="仿宋_GB2312" w:eastAsia="仿宋_GB2312" w:cs="仿宋_GB2312"/>
          <w:bCs/>
          <w:color w:val="000000"/>
          <w:kern w:val="32"/>
          <w:sz w:val="32"/>
          <w:szCs w:val="32"/>
        </w:rPr>
        <w:t>向</w:t>
      </w:r>
      <w:r>
        <w:rPr>
          <w:rFonts w:ascii="仿宋_GB2312" w:hAnsi="仿宋_GB2312" w:eastAsia="仿宋_GB2312" w:cs="仿宋_GB2312"/>
          <w:bCs/>
          <w:color w:val="000000"/>
          <w:kern w:val="32"/>
          <w:sz w:val="32"/>
          <w:szCs w:val="32"/>
        </w:rPr>
        <w:t>被申请人</w:t>
      </w:r>
      <w:r>
        <w:rPr>
          <w:rFonts w:hint="eastAsia" w:ascii="仿宋_GB2312" w:hAnsi="仿宋_GB2312" w:eastAsia="仿宋_GB2312" w:cs="仿宋_GB2312"/>
          <w:bCs/>
          <w:color w:val="000000"/>
          <w:kern w:val="32"/>
          <w:sz w:val="32"/>
          <w:szCs w:val="32"/>
        </w:rPr>
        <w:t>申请办理养老保险养老金申领业务</w:t>
      </w:r>
      <w:r>
        <w:rPr>
          <w:rFonts w:ascii="仿宋_GB2312" w:hAnsi="仿宋_GB2312" w:eastAsia="仿宋_GB2312" w:cs="仿宋_GB2312"/>
          <w:bCs/>
          <w:color w:val="000000"/>
          <w:kern w:val="32"/>
          <w:sz w:val="32"/>
          <w:szCs w:val="32"/>
        </w:rPr>
        <w:t>。2024年1月5日，被申请人作出涉案</w:t>
      </w:r>
      <w:r>
        <w:rPr>
          <w:rFonts w:hint="eastAsia" w:ascii="仿宋_GB2312" w:hAnsi="仿宋_GB2312" w:eastAsia="仿宋_GB2312" w:cs="仿宋_GB2312"/>
          <w:bCs/>
          <w:color w:val="000000"/>
          <w:kern w:val="32"/>
          <w:sz w:val="32"/>
          <w:szCs w:val="32"/>
        </w:rPr>
        <w:t>《深圳市企业职工养老保险养老金核准决定书》</w:t>
      </w:r>
      <w:r>
        <w:rPr>
          <w:rFonts w:ascii="仿宋_GB2312" w:hAnsi="仿宋_GB2312" w:eastAsia="仿宋_GB2312" w:cs="仿宋_GB2312"/>
          <w:bCs/>
          <w:color w:val="000000"/>
          <w:kern w:val="32"/>
          <w:sz w:val="32"/>
          <w:szCs w:val="32"/>
        </w:rPr>
        <w:t>，</w:t>
      </w:r>
      <w:r>
        <w:rPr>
          <w:rFonts w:hint="eastAsia" w:ascii="仿宋_GB2312" w:hAnsi="仿宋_GB2312" w:eastAsia="仿宋_GB2312" w:cs="仿宋_GB2312"/>
          <w:bCs/>
          <w:color w:val="000000"/>
          <w:kern w:val="32"/>
          <w:sz w:val="32"/>
          <w:szCs w:val="32"/>
        </w:rPr>
        <w:t>并附《深圳市企业职工养老保险养老金核定单》</w:t>
      </w:r>
      <w:r>
        <w:rPr>
          <w:rFonts w:ascii="仿宋_GB2312" w:hAnsi="仿宋_GB2312" w:eastAsia="仿宋_GB2312" w:cs="仿宋_GB2312"/>
          <w:bCs/>
          <w:color w:val="000000"/>
          <w:kern w:val="32"/>
          <w:sz w:val="32"/>
          <w:szCs w:val="32"/>
        </w:rPr>
        <w:t>，载明</w:t>
      </w:r>
      <w:r>
        <w:rPr>
          <w:rFonts w:hint="eastAsia" w:ascii="仿宋_GB2312" w:hAnsi="仿宋_GB2312" w:eastAsia="仿宋_GB2312" w:cs="仿宋_GB2312"/>
          <w:bCs/>
          <w:color w:val="000000"/>
          <w:kern w:val="32"/>
          <w:sz w:val="32"/>
          <w:szCs w:val="32"/>
        </w:rPr>
        <w:t>根据《深圳经济特区社会养老保险条例》《〈深圳经济特区社会养老保险条例〉实施细则》</w:t>
      </w:r>
      <w:r>
        <w:rPr>
          <w:rFonts w:ascii="仿宋_GB2312" w:hAnsi="仿宋_GB2312" w:eastAsia="仿宋_GB2312" w:cs="仿宋_GB2312"/>
          <w:bCs/>
          <w:color w:val="000000"/>
          <w:kern w:val="32"/>
          <w:sz w:val="32"/>
          <w:szCs w:val="32"/>
        </w:rPr>
        <w:t>《深圳办法》</w:t>
      </w:r>
      <w:r>
        <w:rPr>
          <w:rFonts w:hint="eastAsia" w:ascii="仿宋_GB2312" w:hAnsi="仿宋_GB2312" w:eastAsia="仿宋_GB2312" w:cs="仿宋_GB2312"/>
          <w:bCs/>
          <w:color w:val="000000"/>
          <w:kern w:val="32"/>
          <w:sz w:val="32"/>
          <w:szCs w:val="32"/>
        </w:rPr>
        <w:t>相关规定，</w:t>
      </w:r>
      <w:r>
        <w:rPr>
          <w:rFonts w:ascii="仿宋_GB2312" w:hAnsi="仿宋_GB2312" w:eastAsia="仿宋_GB2312" w:cs="仿宋_GB2312"/>
          <w:bCs/>
          <w:color w:val="000000"/>
          <w:kern w:val="32"/>
          <w:sz w:val="32"/>
          <w:szCs w:val="32"/>
        </w:rPr>
        <w:t>核准由</w:t>
      </w:r>
      <w:r>
        <w:rPr>
          <w:rFonts w:hint="eastAsia" w:ascii="仿宋_GB2312" w:hAnsi="仿宋_GB2312" w:eastAsia="仿宋_GB2312" w:cs="仿宋_GB2312"/>
          <w:bCs/>
          <w:color w:val="000000"/>
          <w:kern w:val="32"/>
          <w:sz w:val="32"/>
          <w:szCs w:val="32"/>
        </w:rPr>
        <w:t>社保基金从202</w:t>
      </w:r>
      <w:r>
        <w:rPr>
          <w:rFonts w:ascii="仿宋_GB2312" w:hAnsi="仿宋_GB2312" w:eastAsia="仿宋_GB2312" w:cs="仿宋_GB2312"/>
          <w:bCs/>
          <w:color w:val="000000"/>
          <w:kern w:val="32"/>
          <w:sz w:val="32"/>
          <w:szCs w:val="32"/>
        </w:rPr>
        <w:t>3</w:t>
      </w:r>
      <w:r>
        <w:rPr>
          <w:rFonts w:hint="eastAsia" w:ascii="仿宋_GB2312" w:hAnsi="仿宋_GB2312" w:eastAsia="仿宋_GB2312" w:cs="仿宋_GB2312"/>
          <w:bCs/>
          <w:color w:val="000000"/>
          <w:kern w:val="32"/>
          <w:sz w:val="32"/>
          <w:szCs w:val="32"/>
        </w:rPr>
        <w:t>年</w:t>
      </w:r>
      <w:r>
        <w:rPr>
          <w:rFonts w:ascii="仿宋_GB2312" w:hAnsi="仿宋_GB2312" w:eastAsia="仿宋_GB2312" w:cs="仿宋_GB2312"/>
          <w:bCs/>
          <w:color w:val="000000"/>
          <w:kern w:val="32"/>
          <w:sz w:val="32"/>
          <w:szCs w:val="32"/>
        </w:rPr>
        <w:t>6</w:t>
      </w:r>
      <w:r>
        <w:rPr>
          <w:rFonts w:hint="eastAsia" w:ascii="仿宋_GB2312" w:hAnsi="仿宋_GB2312" w:eastAsia="仿宋_GB2312" w:cs="仿宋_GB2312"/>
          <w:bCs/>
          <w:color w:val="000000"/>
          <w:kern w:val="32"/>
          <w:sz w:val="32"/>
          <w:szCs w:val="32"/>
        </w:rPr>
        <w:t>月起按月支付申请人企业职工养老保险养老金，</w:t>
      </w:r>
      <w:r>
        <w:rPr>
          <w:rFonts w:ascii="仿宋_GB2312" w:hAnsi="仿宋_GB2312" w:eastAsia="仿宋_GB2312" w:cs="仿宋_GB2312"/>
          <w:bCs/>
          <w:color w:val="000000"/>
          <w:kern w:val="32"/>
          <w:sz w:val="32"/>
          <w:szCs w:val="32"/>
        </w:rPr>
        <w:t>含统筹</w:t>
      </w:r>
      <w:r>
        <w:rPr>
          <w:rFonts w:hint="eastAsia" w:ascii="仿宋_GB2312" w:hAnsi="仿宋_GB2312" w:eastAsia="仿宋_GB2312" w:cs="仿宋_GB2312"/>
          <w:bCs/>
          <w:color w:val="000000"/>
          <w:kern w:val="32"/>
          <w:sz w:val="32"/>
          <w:szCs w:val="32"/>
        </w:rPr>
        <w:t>养老金</w:t>
      </w:r>
      <w:r>
        <w:rPr>
          <w:rFonts w:ascii="仿宋_GB2312" w:hAnsi="仿宋_GB2312" w:eastAsia="仿宋_GB2312" w:cs="仿宋_GB2312"/>
          <w:bCs/>
          <w:color w:val="000000"/>
          <w:kern w:val="32"/>
          <w:sz w:val="32"/>
          <w:szCs w:val="32"/>
        </w:rPr>
        <w:t>2648.39元、</w:t>
      </w:r>
      <w:r>
        <w:rPr>
          <w:rFonts w:hint="eastAsia" w:ascii="仿宋_GB2312" w:hAnsi="仿宋_GB2312" w:eastAsia="仿宋_GB2312" w:cs="仿宋_GB2312"/>
          <w:bCs/>
          <w:color w:val="000000"/>
          <w:kern w:val="32"/>
          <w:sz w:val="32"/>
          <w:szCs w:val="32"/>
        </w:rPr>
        <w:t>个人账户养老金</w:t>
      </w:r>
      <w:r>
        <w:rPr>
          <w:rFonts w:ascii="仿宋_GB2312" w:hAnsi="仿宋_GB2312" w:eastAsia="仿宋_GB2312" w:cs="仿宋_GB2312"/>
          <w:bCs/>
          <w:color w:val="000000"/>
          <w:kern w:val="32"/>
          <w:sz w:val="32"/>
          <w:szCs w:val="32"/>
        </w:rPr>
        <w:t>424.82元、</w:t>
      </w:r>
      <w:r>
        <w:rPr>
          <w:rFonts w:hint="eastAsia" w:ascii="仿宋_GB2312" w:hAnsi="仿宋_GB2312" w:eastAsia="仿宋_GB2312" w:cs="仿宋_GB2312"/>
          <w:bCs/>
          <w:color w:val="000000"/>
          <w:kern w:val="32"/>
          <w:sz w:val="32"/>
          <w:szCs w:val="32"/>
        </w:rPr>
        <w:t>过渡性养老金</w:t>
      </w:r>
      <w:r>
        <w:rPr>
          <w:rFonts w:ascii="仿宋_GB2312" w:hAnsi="仿宋_GB2312" w:eastAsia="仿宋_GB2312" w:cs="仿宋_GB2312"/>
          <w:bCs/>
          <w:color w:val="000000"/>
          <w:kern w:val="32"/>
          <w:sz w:val="32"/>
          <w:szCs w:val="32"/>
        </w:rPr>
        <w:t>738.96元、</w:t>
      </w:r>
      <w:r>
        <w:rPr>
          <w:rFonts w:hint="eastAsia" w:ascii="仿宋_GB2312" w:hAnsi="仿宋_GB2312" w:eastAsia="仿宋_GB2312" w:cs="仿宋_GB2312"/>
          <w:bCs/>
          <w:color w:val="000000"/>
          <w:kern w:val="32"/>
          <w:sz w:val="32"/>
          <w:szCs w:val="32"/>
        </w:rPr>
        <w:t>过渡性养老金</w:t>
      </w:r>
      <w:r>
        <w:rPr>
          <w:rFonts w:ascii="仿宋_GB2312" w:hAnsi="仿宋_GB2312" w:eastAsia="仿宋_GB2312" w:cs="仿宋_GB2312"/>
          <w:bCs/>
          <w:color w:val="000000"/>
          <w:kern w:val="32"/>
          <w:sz w:val="32"/>
          <w:szCs w:val="32"/>
        </w:rPr>
        <w:t>调整额139.04元，</w:t>
      </w:r>
      <w:r>
        <w:rPr>
          <w:rFonts w:hint="eastAsia" w:ascii="仿宋_GB2312" w:hAnsi="仿宋_GB2312" w:eastAsia="仿宋_GB2312" w:cs="仿宋_GB2312"/>
          <w:bCs/>
          <w:color w:val="000000"/>
          <w:kern w:val="32"/>
          <w:sz w:val="32"/>
          <w:szCs w:val="32"/>
        </w:rPr>
        <w:t>合计</w:t>
      </w:r>
      <w:r>
        <w:rPr>
          <w:rFonts w:ascii="仿宋_GB2312" w:hAnsi="仿宋_GB2312" w:eastAsia="仿宋_GB2312" w:cs="仿宋_GB2312"/>
          <w:bCs/>
          <w:color w:val="000000"/>
          <w:kern w:val="32"/>
          <w:sz w:val="32"/>
          <w:szCs w:val="32"/>
        </w:rPr>
        <w:t>3951.21</w:t>
      </w:r>
      <w:r>
        <w:rPr>
          <w:rFonts w:hint="eastAsia" w:ascii="仿宋_GB2312" w:hAnsi="仿宋_GB2312" w:eastAsia="仿宋_GB2312" w:cs="仿宋_GB2312"/>
          <w:bCs/>
          <w:color w:val="000000"/>
          <w:kern w:val="32"/>
          <w:sz w:val="32"/>
          <w:szCs w:val="32"/>
        </w:rPr>
        <w:t>元。</w:t>
      </w:r>
      <w:r>
        <w:rPr>
          <w:rFonts w:ascii="仿宋_GB2312" w:hAnsi="仿宋_GB2312" w:eastAsia="仿宋_GB2312" w:cs="仿宋_GB2312"/>
          <w:bCs/>
          <w:color w:val="000000"/>
          <w:kern w:val="32"/>
          <w:sz w:val="32"/>
          <w:szCs w:val="32"/>
        </w:rPr>
        <w:t>申请人不服，申请行政复议。</w:t>
      </w:r>
    </w:p>
    <w:p>
      <w:pPr>
        <w:pStyle w:val="6"/>
        <w:spacing w:line="540" w:lineRule="exact"/>
        <w:ind w:right="-334" w:rightChars="-159" w:firstLine="640" w:firstLineChars="200"/>
        <w:rPr>
          <w:rFonts w:ascii="仿宋_GB2312" w:hAnsi="Calibri" w:eastAsia="仿宋_GB2312"/>
          <w:bCs/>
          <w:kern w:val="32"/>
          <w:sz w:val="32"/>
          <w:szCs w:val="32"/>
        </w:rPr>
      </w:pPr>
      <w:r>
        <w:rPr>
          <w:rFonts w:ascii="Calibri" w:hAnsi="Calibri" w:eastAsia="黑体"/>
          <w:kern w:val="32"/>
          <w:sz w:val="32"/>
          <w:szCs w:val="22"/>
        </w:rPr>
        <w:t>另查：</w:t>
      </w:r>
      <w:r>
        <w:rPr>
          <w:rFonts w:ascii="仿宋_GB2312" w:hAnsi="仿宋_GB2312" w:eastAsia="仿宋_GB2312" w:cs="仿宋_GB2312"/>
          <w:bCs/>
          <w:color w:val="000000"/>
          <w:kern w:val="32"/>
          <w:sz w:val="32"/>
          <w:szCs w:val="32"/>
        </w:rPr>
        <w:t>《指数明细表》显示申请人1981年10月至1993年12月为养老保险视同缴费年限，视同缴费指数为0.512。1994年1月至2023年5月为养老保险实际缴费年限，缴费指数按实际缴费计算。</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eastAsia="黑体"/>
          <w:kern w:val="32"/>
          <w:sz w:val="32"/>
        </w:rPr>
        <w:t>本机关认为：</w:t>
      </w:r>
      <w:r>
        <w:rPr>
          <w:rFonts w:ascii="仿宋_GB2312" w:hAnsi="仿宋_GB2312" w:eastAsia="仿宋_GB2312" w:cs="仿宋_GB2312"/>
          <w:bCs/>
          <w:color w:val="000000"/>
          <w:kern w:val="32"/>
          <w:sz w:val="32"/>
          <w:szCs w:val="32"/>
        </w:rPr>
        <w:t>本案，双方当事人对被申请人认定的视同缴费年限和实际缴费年限并无异议，争议焦点为被申请人所核算的养老保险待遇是否正确，由此作出的涉案</w:t>
      </w:r>
      <w:r>
        <w:rPr>
          <w:rFonts w:hint="eastAsia" w:ascii="仿宋_GB2312" w:hAnsi="仿宋_GB2312" w:eastAsia="仿宋_GB2312" w:cs="仿宋_GB2312"/>
          <w:bCs/>
          <w:color w:val="000000"/>
          <w:kern w:val="32"/>
          <w:sz w:val="32"/>
          <w:szCs w:val="32"/>
        </w:rPr>
        <w:t>《深圳市企业职工养老保险养老金核准决定书》</w:t>
      </w:r>
      <w:r>
        <w:rPr>
          <w:rFonts w:ascii="仿宋_GB2312" w:hAnsi="仿宋_GB2312" w:eastAsia="仿宋_GB2312" w:cs="仿宋_GB2312"/>
          <w:bCs/>
          <w:color w:val="000000"/>
          <w:kern w:val="32"/>
          <w:sz w:val="32"/>
          <w:szCs w:val="32"/>
        </w:rPr>
        <w:t>是否合法。</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ascii="仿宋_GB2312" w:hAnsi="仿宋_GB2312" w:eastAsia="仿宋_GB2312" w:cs="仿宋_GB2312"/>
          <w:bCs/>
          <w:color w:val="000000"/>
          <w:kern w:val="32"/>
          <w:sz w:val="32"/>
          <w:szCs w:val="32"/>
        </w:rPr>
        <w:t>本案，《深圳办法》第二条第（四）款项规定：“1994年1月后由外市进入我市且本人视同缴费年限截止时点年度转出地为省内其他地市的参保人，本人视同缴费指数按以下办法确定：本人视同缴费指数＝本人视同缴费年限截止时点年度原单位所在地级以上市城镇非私营单位在岗职工月平均工资÷相同年度广东省城镇非私营单位在岗职工月平均工资。”本案，申请人视同缴费年限截止时点为1993年12月，关系地在河源市，故其1981年10月至1993年12月的养老保险视同缴费指数为：1993年度河源城镇非私营单位在岗职工月平均工资227元÷1993年度广东省城镇非私营单位在岗职工月平均工资444元=0.512，核算无误。另被申请人依照</w:t>
      </w:r>
      <w:r>
        <w:rPr>
          <w:rFonts w:hint="eastAsia" w:ascii="仿宋_GB2312" w:hAnsi="仿宋_GB2312" w:eastAsia="仿宋_GB2312" w:cs="仿宋_GB2312"/>
          <w:bCs/>
          <w:color w:val="000000"/>
          <w:kern w:val="32"/>
          <w:sz w:val="32"/>
          <w:szCs w:val="32"/>
        </w:rPr>
        <w:t>《〈深圳经济特区社会养老保险条例〉实施细则》</w:t>
      </w:r>
      <w:r>
        <w:rPr>
          <w:rFonts w:ascii="仿宋_GB2312" w:hAnsi="仿宋_GB2312" w:eastAsia="仿宋_GB2312" w:cs="仿宋_GB2312"/>
          <w:bCs/>
          <w:color w:val="000000"/>
          <w:kern w:val="32"/>
          <w:sz w:val="32"/>
          <w:szCs w:val="32"/>
        </w:rPr>
        <w:t>第十六条第三款按申请人实际缴纳养老保险的数额核算其实际缴费年限指数，核算亦无误。其次，在被申请人缴费指数核算无误的基础上，被申请人已在答复书中列明过渡性养老金与过渡性养老金调整额的计算依据、计算公式与计算金额，经本机关审核，被申请人核算无误，本机关予以认可。</w:t>
      </w:r>
    </w:p>
    <w:p>
      <w:pPr>
        <w:tabs>
          <w:tab w:val="left" w:pos="800"/>
        </w:tabs>
        <w:suppressAutoHyphens/>
        <w:spacing w:line="540" w:lineRule="exact"/>
        <w:ind w:firstLine="641"/>
        <w:rPr>
          <w:rFonts w:ascii="仿宋_GB2312" w:hAnsi="仿宋_GB2312" w:eastAsia="仿宋_GB2312" w:cs="仿宋_GB2312"/>
          <w:bCs/>
          <w:color w:val="000000"/>
          <w:kern w:val="32"/>
          <w:sz w:val="32"/>
          <w:szCs w:val="32"/>
          <w:lang w:eastAsia="ar-SA"/>
        </w:rPr>
      </w:pPr>
      <w:r>
        <w:rPr>
          <w:rFonts w:ascii="仿宋_GB2312" w:hAnsi="仿宋_GB2312" w:eastAsia="仿宋_GB2312" w:cs="仿宋_GB2312"/>
          <w:bCs/>
          <w:color w:val="000000"/>
          <w:kern w:val="32"/>
          <w:sz w:val="32"/>
          <w:szCs w:val="32"/>
        </w:rPr>
        <w:t>综上，被申请人所核算的申请人养老保险待遇无误，进而作出涉案</w:t>
      </w:r>
      <w:r>
        <w:rPr>
          <w:rFonts w:hint="eastAsia" w:ascii="仿宋_GB2312" w:hAnsi="仿宋_GB2312" w:eastAsia="仿宋_GB2312" w:cs="仿宋_GB2312"/>
          <w:bCs/>
          <w:color w:val="000000"/>
          <w:kern w:val="32"/>
          <w:sz w:val="32"/>
          <w:szCs w:val="32"/>
        </w:rPr>
        <w:t>《深圳市企业职工养老保险养老金核准决定书》</w:t>
      </w:r>
      <w:r>
        <w:rPr>
          <w:rFonts w:ascii="仿宋_GB2312" w:hAnsi="仿宋_GB2312" w:eastAsia="仿宋_GB2312" w:cs="仿宋_GB2312"/>
          <w:bCs/>
          <w:color w:val="000000"/>
          <w:kern w:val="32"/>
          <w:sz w:val="32"/>
          <w:szCs w:val="32"/>
        </w:rPr>
        <w:t>并无违法或者不当。</w:t>
      </w:r>
      <w:r>
        <w:rPr>
          <w:rFonts w:hint="eastAsia" w:ascii="仿宋_GB2312" w:hAnsi="仿宋_GB2312" w:eastAsia="仿宋_GB2312" w:cs="仿宋_GB2312"/>
          <w:bCs/>
          <w:color w:val="000000"/>
          <w:kern w:val="32"/>
          <w:sz w:val="32"/>
          <w:szCs w:val="32"/>
          <w:lang w:eastAsia="ar-SA"/>
        </w:rPr>
        <w:t>根据《中华人民共和国行政复议法》第</w:t>
      </w:r>
      <w:r>
        <w:rPr>
          <w:rFonts w:ascii="仿宋_GB2312" w:hAnsi="仿宋_GB2312" w:eastAsia="仿宋_GB2312" w:cs="仿宋_GB2312"/>
          <w:bCs/>
          <w:color w:val="000000"/>
          <w:kern w:val="32"/>
          <w:sz w:val="32"/>
          <w:szCs w:val="32"/>
        </w:rPr>
        <w:t>六</w:t>
      </w:r>
      <w:r>
        <w:rPr>
          <w:rFonts w:hint="eastAsia" w:ascii="仿宋_GB2312" w:hAnsi="仿宋_GB2312" w:eastAsia="仿宋_GB2312" w:cs="仿宋_GB2312"/>
          <w:bCs/>
          <w:color w:val="000000"/>
          <w:kern w:val="32"/>
          <w:sz w:val="32"/>
          <w:szCs w:val="32"/>
          <w:lang w:eastAsia="ar-SA"/>
        </w:rPr>
        <w:t>十八条的规定，本机关作出复议决定如下：</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维持被申请人深圳市社会保险基金管理局</w:t>
      </w:r>
      <w:r>
        <w:rPr>
          <w:rFonts w:ascii="仿宋_GB2312" w:hAnsi="仿宋_GB2312" w:eastAsia="仿宋_GB2312" w:cs="仿宋_GB2312"/>
          <w:bCs/>
          <w:color w:val="000000"/>
          <w:kern w:val="32"/>
          <w:sz w:val="32"/>
          <w:szCs w:val="32"/>
        </w:rPr>
        <w:t>以</w:t>
      </w:r>
      <w:r>
        <w:rPr>
          <w:rFonts w:hint="eastAsia" w:ascii="仿宋_GB2312" w:hAnsi="仿宋_GB2312" w:eastAsia="仿宋_GB2312" w:cs="仿宋_GB2312"/>
          <w:bCs/>
          <w:color w:val="000000"/>
          <w:kern w:val="32"/>
          <w:sz w:val="32"/>
          <w:szCs w:val="32"/>
        </w:rPr>
        <w:t>深社保职养金</w:t>
      </w:r>
      <w:r>
        <w:rPr>
          <w:rFonts w:ascii="仿宋_GB2312" w:hAnsi="仿宋_GB2312" w:eastAsia="仿宋_GB2312" w:cs="仿宋_GB2312"/>
          <w:bCs/>
          <w:color w:val="000000"/>
          <w:kern w:val="32"/>
          <w:sz w:val="32"/>
          <w:szCs w:val="32"/>
        </w:rPr>
        <w:t>核</w:t>
      </w:r>
      <w:r>
        <w:rPr>
          <w:rFonts w:hint="eastAsia" w:ascii="仿宋_GB2312" w:hAnsi="仿宋_GB2312" w:eastAsia="仿宋_GB2312" w:cs="仿宋_GB2312"/>
          <w:bCs/>
          <w:color w:val="000000"/>
          <w:kern w:val="32"/>
          <w:sz w:val="32"/>
          <w:szCs w:val="32"/>
        </w:rPr>
        <w:t>决字〔202</w:t>
      </w:r>
      <w:r>
        <w:rPr>
          <w:rFonts w:ascii="仿宋_GB2312" w:hAnsi="仿宋_GB2312" w:eastAsia="仿宋_GB2312" w:cs="仿宋_GB2312"/>
          <w:bCs/>
          <w:color w:val="000000"/>
          <w:kern w:val="32"/>
          <w:sz w:val="32"/>
          <w:szCs w:val="32"/>
        </w:rPr>
        <w:t>4</w:t>
      </w:r>
      <w:r>
        <w:rPr>
          <w:rFonts w:hint="eastAsia" w:ascii="仿宋_GB2312" w:hAnsi="仿宋_GB2312" w:eastAsia="仿宋_GB2312" w:cs="仿宋_GB2312"/>
          <w:bCs/>
          <w:color w:val="000000"/>
          <w:kern w:val="32"/>
          <w:sz w:val="32"/>
          <w:szCs w:val="32"/>
        </w:rPr>
        <w:t>〕××号《深圳市企业职工养老保险养老金</w:t>
      </w:r>
      <w:r>
        <w:rPr>
          <w:rFonts w:ascii="仿宋_GB2312" w:hAnsi="仿宋_GB2312" w:eastAsia="仿宋_GB2312" w:cs="仿宋_GB2312"/>
          <w:bCs/>
          <w:color w:val="000000"/>
          <w:kern w:val="32"/>
          <w:sz w:val="32"/>
          <w:szCs w:val="32"/>
        </w:rPr>
        <w:t>核准</w:t>
      </w:r>
      <w:r>
        <w:rPr>
          <w:rFonts w:hint="eastAsia" w:ascii="仿宋_GB2312" w:hAnsi="仿宋_GB2312" w:eastAsia="仿宋_GB2312" w:cs="仿宋_GB2312"/>
          <w:bCs/>
          <w:color w:val="000000"/>
          <w:kern w:val="32"/>
          <w:sz w:val="32"/>
          <w:szCs w:val="32"/>
        </w:rPr>
        <w:t>决定书》</w:t>
      </w:r>
      <w:r>
        <w:rPr>
          <w:rFonts w:ascii="仿宋_GB2312" w:hAnsi="仿宋_GB2312" w:eastAsia="仿宋_GB2312" w:cs="仿宋_GB2312"/>
          <w:bCs/>
          <w:color w:val="000000"/>
          <w:kern w:val="32"/>
          <w:sz w:val="32"/>
          <w:szCs w:val="32"/>
        </w:rPr>
        <w:t>作出的行政行为</w:t>
      </w:r>
    </w:p>
    <w:p>
      <w:pPr>
        <w:tabs>
          <w:tab w:val="left" w:pos="800"/>
        </w:tabs>
        <w:suppressAutoHyphens/>
        <w:spacing w:line="540" w:lineRule="exact"/>
        <w:ind w:firstLine="641"/>
        <w:rPr>
          <w:rFonts w:ascii="仿宋_GB2312" w:hAnsi="仿宋_GB2312" w:eastAsia="仿宋_GB2312" w:cs="仿宋_GB2312"/>
          <w:bCs/>
          <w:color w:val="000000"/>
          <w:kern w:val="32"/>
          <w:sz w:val="32"/>
          <w:szCs w:val="32"/>
        </w:rPr>
      </w:pPr>
      <w:r>
        <w:rPr>
          <w:rFonts w:hint="eastAsia" w:ascii="仿宋_GB2312" w:hAnsi="仿宋_GB2312" w:eastAsia="仿宋_GB2312" w:cs="仿宋_GB2312"/>
          <w:bCs/>
          <w:color w:val="000000"/>
          <w:kern w:val="32"/>
          <w:sz w:val="32"/>
          <w:szCs w:val="32"/>
        </w:rPr>
        <w:t>本复议决定书一经送达，即发生法律效力。申请人如对本复议决定不服，可自收到</w:t>
      </w:r>
      <w:r>
        <w:rPr>
          <w:rFonts w:ascii="仿宋_GB2312" w:hAnsi="仿宋_GB2312" w:eastAsia="仿宋_GB2312" w:cs="仿宋_GB2312"/>
          <w:bCs/>
          <w:color w:val="000000"/>
          <w:kern w:val="32"/>
          <w:sz w:val="32"/>
          <w:szCs w:val="32"/>
        </w:rPr>
        <w:t>本</w:t>
      </w:r>
      <w:r>
        <w:rPr>
          <w:rFonts w:hint="eastAsia" w:ascii="仿宋_GB2312" w:hAnsi="仿宋_GB2312" w:eastAsia="仿宋_GB2312" w:cs="仿宋_GB2312"/>
          <w:bCs/>
          <w:color w:val="000000"/>
          <w:kern w:val="32"/>
          <w:sz w:val="32"/>
          <w:szCs w:val="32"/>
        </w:rPr>
        <w:t>复议决定书之日起十五日内</w:t>
      </w:r>
      <w:r>
        <w:rPr>
          <w:rFonts w:ascii="仿宋_GB2312" w:hAnsi="仿宋_GB2312" w:eastAsia="仿宋_GB2312" w:cs="仿宋_GB2312"/>
          <w:bCs/>
          <w:color w:val="000000"/>
          <w:kern w:val="32"/>
          <w:sz w:val="32"/>
          <w:szCs w:val="32"/>
        </w:rPr>
        <w:t>依法</w:t>
      </w:r>
      <w:r>
        <w:rPr>
          <w:rFonts w:hint="eastAsia" w:ascii="仿宋_GB2312" w:hAnsi="仿宋_GB2312" w:eastAsia="仿宋_GB2312" w:cs="仿宋_GB2312"/>
          <w:bCs/>
          <w:color w:val="000000"/>
          <w:kern w:val="32"/>
          <w:sz w:val="32"/>
          <w:szCs w:val="32"/>
        </w:rPr>
        <w:t>向有管辖权的人民法院提起诉讼。</w:t>
      </w:r>
    </w:p>
    <w:p>
      <w:pPr>
        <w:tabs>
          <w:tab w:val="left" w:pos="800"/>
        </w:tabs>
        <w:suppressAutoHyphens/>
        <w:spacing w:line="540" w:lineRule="exact"/>
        <w:ind w:firstLine="641"/>
        <w:rPr>
          <w:rFonts w:ascii="仿宋_GB2312" w:eastAsia="仿宋_GB2312"/>
          <w:bCs/>
          <w:kern w:val="32"/>
          <w:sz w:val="32"/>
          <w:szCs w:val="32"/>
        </w:rPr>
      </w:pPr>
    </w:p>
    <w:p>
      <w:pPr>
        <w:tabs>
          <w:tab w:val="left" w:pos="800"/>
        </w:tabs>
        <w:suppressAutoHyphens/>
        <w:spacing w:line="540" w:lineRule="exact"/>
        <w:ind w:firstLine="641"/>
        <w:rPr>
          <w:rFonts w:ascii="仿宋_GB2312" w:eastAsia="仿宋_GB2312"/>
          <w:bCs/>
          <w:kern w:val="32"/>
          <w:sz w:val="32"/>
          <w:szCs w:val="32"/>
        </w:rPr>
      </w:pPr>
    </w:p>
    <w:p>
      <w:pPr>
        <w:tabs>
          <w:tab w:val="left" w:pos="800"/>
        </w:tabs>
        <w:suppressAutoHyphens/>
        <w:spacing w:line="540" w:lineRule="exact"/>
        <w:ind w:firstLine="641"/>
        <w:rPr>
          <w:rFonts w:ascii="仿宋_GB2312" w:eastAsia="仿宋_GB2312"/>
          <w:bCs/>
          <w:kern w:val="32"/>
          <w:sz w:val="32"/>
          <w:szCs w:val="32"/>
        </w:rPr>
      </w:pPr>
    </w:p>
    <w:p>
      <w:pPr>
        <w:tabs>
          <w:tab w:val="left" w:pos="800"/>
        </w:tabs>
        <w:suppressAutoHyphens/>
        <w:spacing w:line="540" w:lineRule="exact"/>
        <w:ind w:firstLine="5132" w:firstLineChars="1604"/>
        <w:rPr>
          <w:rFonts w:ascii="仿宋_GB2312" w:eastAsia="仿宋_GB2312"/>
          <w:bCs/>
          <w:kern w:val="32"/>
          <w:sz w:val="32"/>
          <w:szCs w:val="32"/>
          <w:lang w:eastAsia="ar-SA"/>
        </w:rPr>
      </w:pPr>
      <w:r>
        <w:rPr>
          <w:rFonts w:hint="eastAsia" w:ascii="仿宋_GB2312" w:eastAsia="仿宋_GB2312"/>
          <w:bCs/>
          <w:kern w:val="32"/>
          <w:sz w:val="32"/>
          <w:szCs w:val="32"/>
          <w:lang w:eastAsia="ar-SA"/>
        </w:rPr>
        <w:t>深圳市人民政府</w:t>
      </w:r>
    </w:p>
    <w:p>
      <w:pPr>
        <w:tabs>
          <w:tab w:val="left" w:pos="800"/>
        </w:tabs>
        <w:suppressAutoHyphens/>
        <w:spacing w:line="540" w:lineRule="exact"/>
        <w:ind w:firstLine="5132" w:firstLineChars="1604"/>
        <w:rPr>
          <w:rFonts w:ascii="仿宋_GB2312" w:eastAsia="仿宋_GB2312"/>
          <w:bCs/>
          <w:kern w:val="32"/>
          <w:sz w:val="32"/>
          <w:szCs w:val="32"/>
        </w:rPr>
      </w:pPr>
      <w:r>
        <w:rPr>
          <w:rFonts w:hint="eastAsia" w:ascii="仿宋_GB2312" w:eastAsia="仿宋_GB2312"/>
          <w:bCs/>
          <w:kern w:val="32"/>
          <w:sz w:val="32"/>
          <w:szCs w:val="32"/>
          <w:lang w:eastAsia="ar-SA"/>
        </w:rPr>
        <w:t>202</w:t>
      </w:r>
      <w:r>
        <w:rPr>
          <w:rFonts w:ascii="仿宋_GB2312" w:eastAsia="仿宋_GB2312"/>
          <w:bCs/>
          <w:kern w:val="32"/>
          <w:sz w:val="32"/>
          <w:szCs w:val="32"/>
        </w:rPr>
        <w:t>4</w:t>
      </w:r>
      <w:r>
        <w:rPr>
          <w:rFonts w:hint="eastAsia" w:ascii="仿宋_GB2312" w:eastAsia="仿宋_GB2312"/>
          <w:bCs/>
          <w:kern w:val="32"/>
          <w:sz w:val="32"/>
          <w:szCs w:val="32"/>
          <w:lang w:eastAsia="ar-SA"/>
        </w:rPr>
        <w:t>年</w:t>
      </w:r>
      <w:r>
        <w:rPr>
          <w:rFonts w:ascii="仿宋_GB2312" w:eastAsia="仿宋_GB2312"/>
          <w:bCs/>
          <w:kern w:val="32"/>
          <w:sz w:val="32"/>
          <w:szCs w:val="32"/>
        </w:rPr>
        <w:t>4</w:t>
      </w:r>
      <w:r>
        <w:rPr>
          <w:rFonts w:hint="eastAsia" w:ascii="仿宋_GB2312" w:eastAsia="仿宋_GB2312"/>
          <w:bCs/>
          <w:kern w:val="32"/>
          <w:sz w:val="32"/>
          <w:szCs w:val="32"/>
          <w:lang w:eastAsia="ar-SA"/>
        </w:rPr>
        <w:t>月</w:t>
      </w:r>
      <w:r>
        <w:rPr>
          <w:rFonts w:ascii="仿宋_GB2312" w:eastAsia="仿宋_GB2312"/>
          <w:bCs/>
          <w:kern w:val="32"/>
          <w:sz w:val="32"/>
          <w:szCs w:val="32"/>
          <w:lang w:eastAsia="ar-SA"/>
        </w:rPr>
        <w:t>30</w:t>
      </w:r>
      <w:r>
        <w:rPr>
          <w:rFonts w:hint="eastAsia" w:ascii="仿宋_GB2312" w:eastAsia="仿宋_GB2312"/>
          <w:bCs/>
          <w:kern w:val="32"/>
          <w:sz w:val="32"/>
          <w:szCs w:val="32"/>
          <w:lang w:eastAsia="ar-SA"/>
        </w:rPr>
        <w:t>日</w:t>
      </w:r>
      <w:bookmarkEnd w:id="0"/>
    </w:p>
    <w:sectPr>
      <w:footerReference r:id="rId3" w:type="default"/>
      <w:footerReference r:id="rId4" w:type="even"/>
      <w:pgSz w:w="11906" w:h="16838"/>
      <w:pgMar w:top="1871" w:right="1418" w:bottom="1588" w:left="1418" w:header="851" w:footer="663"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jc w:val="right"/>
                </w:pPr>
                <w:r>
                  <w:rPr>
                    <w:rStyle w:val="13"/>
                    <w:rFonts w:hint="eastAsia"/>
                    <w:sz w:val="28"/>
                    <w:szCs w:val="28"/>
                  </w:rPr>
                  <w:t>—</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Style w:val="13"/>
                    <w:rFonts w:hint="eastAsia"/>
                    <w:sz w:val="28"/>
                    <w:szCs w:val="28"/>
                  </w:rPr>
                  <w:t>—</w:t>
                </w:r>
              </w:p>
            </w:txbxContent>
          </v:textbox>
        </v:shape>
      </w:pic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8"/>
                </w:pPr>
                <w:r>
                  <w:rPr>
                    <w:rStyle w:val="13"/>
                    <w:rFonts w:hint="eastAsia"/>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r>
                  <w:rPr>
                    <w:rStyle w:val="13"/>
                    <w:rFonts w:hint="eastAsia"/>
                    <w:sz w:val="28"/>
                    <w:szCs w:val="28"/>
                  </w:rPr>
                  <w:t>—</w:t>
                </w:r>
              </w:p>
            </w:txbxContent>
          </v:textbox>
        </v:shape>
      </w:pict>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evenAndOddHeaders w:val="true"/>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AxYTM5OGMzOTYzYmJkYmM1ZjgyNjk2NzZmMjNmN2UifQ=="/>
  </w:docVars>
  <w:rsids>
    <w:rsidRoot w:val="00201B0F"/>
    <w:rsid w:val="00003640"/>
    <w:rsid w:val="0000447C"/>
    <w:rsid w:val="00007E3C"/>
    <w:rsid w:val="000124E1"/>
    <w:rsid w:val="0001283C"/>
    <w:rsid w:val="0001510B"/>
    <w:rsid w:val="00017667"/>
    <w:rsid w:val="00017E4B"/>
    <w:rsid w:val="00021530"/>
    <w:rsid w:val="00024081"/>
    <w:rsid w:val="00026372"/>
    <w:rsid w:val="0003082A"/>
    <w:rsid w:val="0003478D"/>
    <w:rsid w:val="00037CB9"/>
    <w:rsid w:val="00041488"/>
    <w:rsid w:val="00043B74"/>
    <w:rsid w:val="00045DC6"/>
    <w:rsid w:val="00047946"/>
    <w:rsid w:val="00047AEF"/>
    <w:rsid w:val="00054AA2"/>
    <w:rsid w:val="00055702"/>
    <w:rsid w:val="00060250"/>
    <w:rsid w:val="0006361E"/>
    <w:rsid w:val="0006486C"/>
    <w:rsid w:val="00071AA2"/>
    <w:rsid w:val="000732F1"/>
    <w:rsid w:val="00077A7C"/>
    <w:rsid w:val="000813AF"/>
    <w:rsid w:val="000851FC"/>
    <w:rsid w:val="00091F29"/>
    <w:rsid w:val="0009243E"/>
    <w:rsid w:val="000939E9"/>
    <w:rsid w:val="00094CC1"/>
    <w:rsid w:val="0009609F"/>
    <w:rsid w:val="000B28A9"/>
    <w:rsid w:val="000B69AA"/>
    <w:rsid w:val="000C0984"/>
    <w:rsid w:val="000C1C3F"/>
    <w:rsid w:val="000C20F3"/>
    <w:rsid w:val="000C3375"/>
    <w:rsid w:val="000C6F06"/>
    <w:rsid w:val="000D1AB7"/>
    <w:rsid w:val="000D1D9C"/>
    <w:rsid w:val="000D5F50"/>
    <w:rsid w:val="000D7845"/>
    <w:rsid w:val="000E1090"/>
    <w:rsid w:val="000E630D"/>
    <w:rsid w:val="000E64AE"/>
    <w:rsid w:val="000F122B"/>
    <w:rsid w:val="000F2EDD"/>
    <w:rsid w:val="00100D98"/>
    <w:rsid w:val="00100FA1"/>
    <w:rsid w:val="001066C2"/>
    <w:rsid w:val="001263EE"/>
    <w:rsid w:val="00131B6E"/>
    <w:rsid w:val="0013776F"/>
    <w:rsid w:val="00141BB6"/>
    <w:rsid w:val="00146ED0"/>
    <w:rsid w:val="00152114"/>
    <w:rsid w:val="001562D5"/>
    <w:rsid w:val="0016182D"/>
    <w:rsid w:val="001653E2"/>
    <w:rsid w:val="00171A17"/>
    <w:rsid w:val="00171B1D"/>
    <w:rsid w:val="00171BCB"/>
    <w:rsid w:val="00175D6F"/>
    <w:rsid w:val="00181BCA"/>
    <w:rsid w:val="00184C53"/>
    <w:rsid w:val="001854D9"/>
    <w:rsid w:val="00185E89"/>
    <w:rsid w:val="001879B1"/>
    <w:rsid w:val="001906F6"/>
    <w:rsid w:val="001A6037"/>
    <w:rsid w:val="001A7947"/>
    <w:rsid w:val="001B2C2D"/>
    <w:rsid w:val="001B402D"/>
    <w:rsid w:val="001C4499"/>
    <w:rsid w:val="001C7F50"/>
    <w:rsid w:val="001D223E"/>
    <w:rsid w:val="001D259B"/>
    <w:rsid w:val="001D434E"/>
    <w:rsid w:val="001D59D2"/>
    <w:rsid w:val="001D5E43"/>
    <w:rsid w:val="001D7385"/>
    <w:rsid w:val="001E26A5"/>
    <w:rsid w:val="001E26CE"/>
    <w:rsid w:val="001E4AD4"/>
    <w:rsid w:val="001E7C33"/>
    <w:rsid w:val="001F1474"/>
    <w:rsid w:val="001F23F1"/>
    <w:rsid w:val="001F46ED"/>
    <w:rsid w:val="00201B0F"/>
    <w:rsid w:val="002027EA"/>
    <w:rsid w:val="0021003C"/>
    <w:rsid w:val="00215927"/>
    <w:rsid w:val="00215CF4"/>
    <w:rsid w:val="00220FBE"/>
    <w:rsid w:val="00222CC8"/>
    <w:rsid w:val="00236137"/>
    <w:rsid w:val="002427A1"/>
    <w:rsid w:val="00242D0B"/>
    <w:rsid w:val="00245AAF"/>
    <w:rsid w:val="00252819"/>
    <w:rsid w:val="002552EC"/>
    <w:rsid w:val="00264120"/>
    <w:rsid w:val="00264B87"/>
    <w:rsid w:val="00272B99"/>
    <w:rsid w:val="00276975"/>
    <w:rsid w:val="00281D08"/>
    <w:rsid w:val="00282DCF"/>
    <w:rsid w:val="00292593"/>
    <w:rsid w:val="00292D94"/>
    <w:rsid w:val="00296A64"/>
    <w:rsid w:val="00297E4B"/>
    <w:rsid w:val="002A551F"/>
    <w:rsid w:val="002A5553"/>
    <w:rsid w:val="002B0859"/>
    <w:rsid w:val="002B309A"/>
    <w:rsid w:val="002B359F"/>
    <w:rsid w:val="002B51D6"/>
    <w:rsid w:val="002C066B"/>
    <w:rsid w:val="002C3584"/>
    <w:rsid w:val="002C794E"/>
    <w:rsid w:val="002D75A8"/>
    <w:rsid w:val="002E1598"/>
    <w:rsid w:val="002E1793"/>
    <w:rsid w:val="002E19E1"/>
    <w:rsid w:val="002E44CC"/>
    <w:rsid w:val="002E5893"/>
    <w:rsid w:val="002F05E3"/>
    <w:rsid w:val="002F0792"/>
    <w:rsid w:val="002F0B35"/>
    <w:rsid w:val="002F0CB9"/>
    <w:rsid w:val="002F0F28"/>
    <w:rsid w:val="002F35EB"/>
    <w:rsid w:val="002F6435"/>
    <w:rsid w:val="002F64AD"/>
    <w:rsid w:val="002F66C9"/>
    <w:rsid w:val="00302C33"/>
    <w:rsid w:val="0030453A"/>
    <w:rsid w:val="00304CDA"/>
    <w:rsid w:val="00305BDE"/>
    <w:rsid w:val="003061B5"/>
    <w:rsid w:val="00314393"/>
    <w:rsid w:val="00315BD0"/>
    <w:rsid w:val="003218E3"/>
    <w:rsid w:val="00321FF5"/>
    <w:rsid w:val="00327481"/>
    <w:rsid w:val="00340631"/>
    <w:rsid w:val="00342ADE"/>
    <w:rsid w:val="00350DF9"/>
    <w:rsid w:val="003542DB"/>
    <w:rsid w:val="00355025"/>
    <w:rsid w:val="00360893"/>
    <w:rsid w:val="00360C5E"/>
    <w:rsid w:val="00360DC0"/>
    <w:rsid w:val="00362D70"/>
    <w:rsid w:val="003653F7"/>
    <w:rsid w:val="00367CFD"/>
    <w:rsid w:val="00374F7C"/>
    <w:rsid w:val="00377FD4"/>
    <w:rsid w:val="00381480"/>
    <w:rsid w:val="00381F3B"/>
    <w:rsid w:val="00382AAE"/>
    <w:rsid w:val="003854EE"/>
    <w:rsid w:val="003862B3"/>
    <w:rsid w:val="00386997"/>
    <w:rsid w:val="003875AB"/>
    <w:rsid w:val="003921DA"/>
    <w:rsid w:val="0039288F"/>
    <w:rsid w:val="003A4A3E"/>
    <w:rsid w:val="003A5BDF"/>
    <w:rsid w:val="003A630A"/>
    <w:rsid w:val="003C731D"/>
    <w:rsid w:val="003D7558"/>
    <w:rsid w:val="003E1222"/>
    <w:rsid w:val="003E6312"/>
    <w:rsid w:val="003E649C"/>
    <w:rsid w:val="003F1B21"/>
    <w:rsid w:val="003F48B2"/>
    <w:rsid w:val="004010A6"/>
    <w:rsid w:val="00414166"/>
    <w:rsid w:val="0041529E"/>
    <w:rsid w:val="00432E93"/>
    <w:rsid w:val="004361C1"/>
    <w:rsid w:val="00450198"/>
    <w:rsid w:val="00454638"/>
    <w:rsid w:val="0047319A"/>
    <w:rsid w:val="00473A7D"/>
    <w:rsid w:val="00473D7C"/>
    <w:rsid w:val="004752C5"/>
    <w:rsid w:val="004758C1"/>
    <w:rsid w:val="004807D6"/>
    <w:rsid w:val="004860CB"/>
    <w:rsid w:val="00490257"/>
    <w:rsid w:val="00490C55"/>
    <w:rsid w:val="004975E5"/>
    <w:rsid w:val="004A55B0"/>
    <w:rsid w:val="004A6339"/>
    <w:rsid w:val="004A664A"/>
    <w:rsid w:val="004B2BD8"/>
    <w:rsid w:val="004B737B"/>
    <w:rsid w:val="004C61F4"/>
    <w:rsid w:val="004C62E3"/>
    <w:rsid w:val="004C6A7D"/>
    <w:rsid w:val="004C7A12"/>
    <w:rsid w:val="004D0F7F"/>
    <w:rsid w:val="004D2317"/>
    <w:rsid w:val="004E0336"/>
    <w:rsid w:val="004E5541"/>
    <w:rsid w:val="004E6E07"/>
    <w:rsid w:val="004E6E6D"/>
    <w:rsid w:val="004E7DA3"/>
    <w:rsid w:val="004F123B"/>
    <w:rsid w:val="004F3C7F"/>
    <w:rsid w:val="004F5484"/>
    <w:rsid w:val="00503E17"/>
    <w:rsid w:val="00511968"/>
    <w:rsid w:val="00511C27"/>
    <w:rsid w:val="005152EA"/>
    <w:rsid w:val="005174D0"/>
    <w:rsid w:val="005236A2"/>
    <w:rsid w:val="00527861"/>
    <w:rsid w:val="00530A69"/>
    <w:rsid w:val="00533E98"/>
    <w:rsid w:val="00537A64"/>
    <w:rsid w:val="00537D11"/>
    <w:rsid w:val="00544E49"/>
    <w:rsid w:val="005505ED"/>
    <w:rsid w:val="00553543"/>
    <w:rsid w:val="00554350"/>
    <w:rsid w:val="0055541D"/>
    <w:rsid w:val="005569D1"/>
    <w:rsid w:val="00556E68"/>
    <w:rsid w:val="00560A1E"/>
    <w:rsid w:val="0056239C"/>
    <w:rsid w:val="00563772"/>
    <w:rsid w:val="00564027"/>
    <w:rsid w:val="00565097"/>
    <w:rsid w:val="00566185"/>
    <w:rsid w:val="00570CA6"/>
    <w:rsid w:val="00572C6D"/>
    <w:rsid w:val="00574B27"/>
    <w:rsid w:val="00576E64"/>
    <w:rsid w:val="00583017"/>
    <w:rsid w:val="005840B7"/>
    <w:rsid w:val="00585EBF"/>
    <w:rsid w:val="00590FE1"/>
    <w:rsid w:val="00594176"/>
    <w:rsid w:val="00595251"/>
    <w:rsid w:val="00597DEE"/>
    <w:rsid w:val="005A29D1"/>
    <w:rsid w:val="005A2D4B"/>
    <w:rsid w:val="005A2EF7"/>
    <w:rsid w:val="005A383E"/>
    <w:rsid w:val="005A68ED"/>
    <w:rsid w:val="005B3CEA"/>
    <w:rsid w:val="005B59D5"/>
    <w:rsid w:val="005B5AA4"/>
    <w:rsid w:val="005C0ADF"/>
    <w:rsid w:val="005D1F02"/>
    <w:rsid w:val="005D412B"/>
    <w:rsid w:val="005E421E"/>
    <w:rsid w:val="005E73E6"/>
    <w:rsid w:val="005F2345"/>
    <w:rsid w:val="005F419B"/>
    <w:rsid w:val="005F4646"/>
    <w:rsid w:val="0060350F"/>
    <w:rsid w:val="006035DF"/>
    <w:rsid w:val="0060600A"/>
    <w:rsid w:val="006152CF"/>
    <w:rsid w:val="00623D97"/>
    <w:rsid w:val="00623E3E"/>
    <w:rsid w:val="006319FF"/>
    <w:rsid w:val="00637731"/>
    <w:rsid w:val="00637854"/>
    <w:rsid w:val="006408D8"/>
    <w:rsid w:val="006424D3"/>
    <w:rsid w:val="006427CF"/>
    <w:rsid w:val="0064436D"/>
    <w:rsid w:val="00644E68"/>
    <w:rsid w:val="006468BD"/>
    <w:rsid w:val="00646BC1"/>
    <w:rsid w:val="006500C3"/>
    <w:rsid w:val="00651F54"/>
    <w:rsid w:val="006522A3"/>
    <w:rsid w:val="00653BF6"/>
    <w:rsid w:val="00660A41"/>
    <w:rsid w:val="00662890"/>
    <w:rsid w:val="006632FB"/>
    <w:rsid w:val="006634AA"/>
    <w:rsid w:val="006645AC"/>
    <w:rsid w:val="00666E79"/>
    <w:rsid w:val="0067120B"/>
    <w:rsid w:val="00671E71"/>
    <w:rsid w:val="006720B9"/>
    <w:rsid w:val="00675565"/>
    <w:rsid w:val="00677B5D"/>
    <w:rsid w:val="00680A73"/>
    <w:rsid w:val="00683275"/>
    <w:rsid w:val="0068406F"/>
    <w:rsid w:val="006845C7"/>
    <w:rsid w:val="00687146"/>
    <w:rsid w:val="00687AE4"/>
    <w:rsid w:val="00691C6F"/>
    <w:rsid w:val="00692BB1"/>
    <w:rsid w:val="00697C2E"/>
    <w:rsid w:val="006A0C22"/>
    <w:rsid w:val="006A30B2"/>
    <w:rsid w:val="006A3A8C"/>
    <w:rsid w:val="006A4684"/>
    <w:rsid w:val="006A4901"/>
    <w:rsid w:val="006A7031"/>
    <w:rsid w:val="006B1879"/>
    <w:rsid w:val="006B5DAA"/>
    <w:rsid w:val="006C2BBE"/>
    <w:rsid w:val="006C4266"/>
    <w:rsid w:val="006D11F3"/>
    <w:rsid w:val="006D2B0A"/>
    <w:rsid w:val="006D4AD3"/>
    <w:rsid w:val="006D6518"/>
    <w:rsid w:val="006D7E94"/>
    <w:rsid w:val="006E1F85"/>
    <w:rsid w:val="006E7139"/>
    <w:rsid w:val="006F5C03"/>
    <w:rsid w:val="00700504"/>
    <w:rsid w:val="007025E8"/>
    <w:rsid w:val="00704EA6"/>
    <w:rsid w:val="00706269"/>
    <w:rsid w:val="007063DD"/>
    <w:rsid w:val="00706AEA"/>
    <w:rsid w:val="00707E6B"/>
    <w:rsid w:val="00707F92"/>
    <w:rsid w:val="0071063D"/>
    <w:rsid w:val="00711B8E"/>
    <w:rsid w:val="00712E5A"/>
    <w:rsid w:val="0071522E"/>
    <w:rsid w:val="007177E0"/>
    <w:rsid w:val="00717D10"/>
    <w:rsid w:val="007255E2"/>
    <w:rsid w:val="007266B2"/>
    <w:rsid w:val="007300BB"/>
    <w:rsid w:val="00730614"/>
    <w:rsid w:val="00733436"/>
    <w:rsid w:val="00733C5F"/>
    <w:rsid w:val="00734334"/>
    <w:rsid w:val="007350C9"/>
    <w:rsid w:val="007427A0"/>
    <w:rsid w:val="00743762"/>
    <w:rsid w:val="00743910"/>
    <w:rsid w:val="00744814"/>
    <w:rsid w:val="00745740"/>
    <w:rsid w:val="00750CAD"/>
    <w:rsid w:val="00752ECD"/>
    <w:rsid w:val="00753240"/>
    <w:rsid w:val="00755E81"/>
    <w:rsid w:val="00761D35"/>
    <w:rsid w:val="00762779"/>
    <w:rsid w:val="00766767"/>
    <w:rsid w:val="0077193C"/>
    <w:rsid w:val="0077240B"/>
    <w:rsid w:val="007733F4"/>
    <w:rsid w:val="00773426"/>
    <w:rsid w:val="007804DB"/>
    <w:rsid w:val="00790563"/>
    <w:rsid w:val="007A0EC6"/>
    <w:rsid w:val="007A4276"/>
    <w:rsid w:val="007A42AE"/>
    <w:rsid w:val="007A4DD0"/>
    <w:rsid w:val="007A7AEC"/>
    <w:rsid w:val="007B236D"/>
    <w:rsid w:val="007B47A8"/>
    <w:rsid w:val="007B7C93"/>
    <w:rsid w:val="007C20B6"/>
    <w:rsid w:val="007C28BB"/>
    <w:rsid w:val="007C4131"/>
    <w:rsid w:val="007C61A9"/>
    <w:rsid w:val="007C6780"/>
    <w:rsid w:val="007D0E70"/>
    <w:rsid w:val="007D47C0"/>
    <w:rsid w:val="007E01C0"/>
    <w:rsid w:val="007E2131"/>
    <w:rsid w:val="007E2912"/>
    <w:rsid w:val="007E5649"/>
    <w:rsid w:val="007E5780"/>
    <w:rsid w:val="007E58DE"/>
    <w:rsid w:val="007F0449"/>
    <w:rsid w:val="007F286D"/>
    <w:rsid w:val="007F676A"/>
    <w:rsid w:val="007F6A5F"/>
    <w:rsid w:val="0080065E"/>
    <w:rsid w:val="00812DE7"/>
    <w:rsid w:val="00815BF9"/>
    <w:rsid w:val="00821CC6"/>
    <w:rsid w:val="008314D4"/>
    <w:rsid w:val="00834B55"/>
    <w:rsid w:val="00835A53"/>
    <w:rsid w:val="00836965"/>
    <w:rsid w:val="00841A2B"/>
    <w:rsid w:val="008427EF"/>
    <w:rsid w:val="00852304"/>
    <w:rsid w:val="00852306"/>
    <w:rsid w:val="00857021"/>
    <w:rsid w:val="008736D0"/>
    <w:rsid w:val="00874418"/>
    <w:rsid w:val="0087603A"/>
    <w:rsid w:val="00881582"/>
    <w:rsid w:val="0088181B"/>
    <w:rsid w:val="0088311B"/>
    <w:rsid w:val="008835B9"/>
    <w:rsid w:val="00897805"/>
    <w:rsid w:val="008A2556"/>
    <w:rsid w:val="008A72EF"/>
    <w:rsid w:val="008B2211"/>
    <w:rsid w:val="008B3042"/>
    <w:rsid w:val="008B32AD"/>
    <w:rsid w:val="008C1522"/>
    <w:rsid w:val="008C26C8"/>
    <w:rsid w:val="008D25C4"/>
    <w:rsid w:val="008D31BC"/>
    <w:rsid w:val="008D4433"/>
    <w:rsid w:val="008D6011"/>
    <w:rsid w:val="008D6BCE"/>
    <w:rsid w:val="008E1019"/>
    <w:rsid w:val="008E2C6D"/>
    <w:rsid w:val="008E7283"/>
    <w:rsid w:val="008F0C4B"/>
    <w:rsid w:val="008F5F73"/>
    <w:rsid w:val="008F6F8B"/>
    <w:rsid w:val="00903B91"/>
    <w:rsid w:val="00904CA0"/>
    <w:rsid w:val="00905856"/>
    <w:rsid w:val="00906698"/>
    <w:rsid w:val="0091098A"/>
    <w:rsid w:val="00913762"/>
    <w:rsid w:val="00915D07"/>
    <w:rsid w:val="009200DF"/>
    <w:rsid w:val="00923D9A"/>
    <w:rsid w:val="00925459"/>
    <w:rsid w:val="0093137B"/>
    <w:rsid w:val="00931A18"/>
    <w:rsid w:val="0093795B"/>
    <w:rsid w:val="00944316"/>
    <w:rsid w:val="00945215"/>
    <w:rsid w:val="00950FC2"/>
    <w:rsid w:val="009533A6"/>
    <w:rsid w:val="00956563"/>
    <w:rsid w:val="009572A2"/>
    <w:rsid w:val="00960086"/>
    <w:rsid w:val="009603B2"/>
    <w:rsid w:val="00960572"/>
    <w:rsid w:val="00963B05"/>
    <w:rsid w:val="00964D7E"/>
    <w:rsid w:val="00973490"/>
    <w:rsid w:val="0098625D"/>
    <w:rsid w:val="00995751"/>
    <w:rsid w:val="009A2BCB"/>
    <w:rsid w:val="009A7F73"/>
    <w:rsid w:val="009B05D1"/>
    <w:rsid w:val="009B3473"/>
    <w:rsid w:val="009C0617"/>
    <w:rsid w:val="009C0A5E"/>
    <w:rsid w:val="009C145C"/>
    <w:rsid w:val="009C4200"/>
    <w:rsid w:val="009C6A0C"/>
    <w:rsid w:val="009D0EB0"/>
    <w:rsid w:val="009D2CB7"/>
    <w:rsid w:val="009E0570"/>
    <w:rsid w:val="009E31D7"/>
    <w:rsid w:val="009E4F7B"/>
    <w:rsid w:val="009E6E4D"/>
    <w:rsid w:val="009F00CC"/>
    <w:rsid w:val="009F1F76"/>
    <w:rsid w:val="009F209C"/>
    <w:rsid w:val="00A014E2"/>
    <w:rsid w:val="00A040B9"/>
    <w:rsid w:val="00A07BAE"/>
    <w:rsid w:val="00A13D56"/>
    <w:rsid w:val="00A144ED"/>
    <w:rsid w:val="00A1519A"/>
    <w:rsid w:val="00A22F05"/>
    <w:rsid w:val="00A23946"/>
    <w:rsid w:val="00A30CFA"/>
    <w:rsid w:val="00A40AD5"/>
    <w:rsid w:val="00A40D9D"/>
    <w:rsid w:val="00A421E6"/>
    <w:rsid w:val="00A44776"/>
    <w:rsid w:val="00A45D13"/>
    <w:rsid w:val="00A51267"/>
    <w:rsid w:val="00A51A79"/>
    <w:rsid w:val="00A51A88"/>
    <w:rsid w:val="00A553C7"/>
    <w:rsid w:val="00A5700F"/>
    <w:rsid w:val="00A62F75"/>
    <w:rsid w:val="00A6664D"/>
    <w:rsid w:val="00A72D3E"/>
    <w:rsid w:val="00A74F7C"/>
    <w:rsid w:val="00A76FB0"/>
    <w:rsid w:val="00A80636"/>
    <w:rsid w:val="00A8357B"/>
    <w:rsid w:val="00A9399B"/>
    <w:rsid w:val="00A9630B"/>
    <w:rsid w:val="00AA2C51"/>
    <w:rsid w:val="00AA5663"/>
    <w:rsid w:val="00AB11CB"/>
    <w:rsid w:val="00AB227A"/>
    <w:rsid w:val="00AB4706"/>
    <w:rsid w:val="00AB475B"/>
    <w:rsid w:val="00AC0205"/>
    <w:rsid w:val="00AC1343"/>
    <w:rsid w:val="00AC399D"/>
    <w:rsid w:val="00AD1697"/>
    <w:rsid w:val="00AD236C"/>
    <w:rsid w:val="00AE0904"/>
    <w:rsid w:val="00AE35F8"/>
    <w:rsid w:val="00AE444E"/>
    <w:rsid w:val="00AF0FA3"/>
    <w:rsid w:val="00AF4385"/>
    <w:rsid w:val="00AF45A4"/>
    <w:rsid w:val="00AF5DFC"/>
    <w:rsid w:val="00AF64A5"/>
    <w:rsid w:val="00B04869"/>
    <w:rsid w:val="00B05125"/>
    <w:rsid w:val="00B110D8"/>
    <w:rsid w:val="00B172BA"/>
    <w:rsid w:val="00B20172"/>
    <w:rsid w:val="00B20957"/>
    <w:rsid w:val="00B217A7"/>
    <w:rsid w:val="00B268BC"/>
    <w:rsid w:val="00B26F1F"/>
    <w:rsid w:val="00B26F9B"/>
    <w:rsid w:val="00B31230"/>
    <w:rsid w:val="00B34F7A"/>
    <w:rsid w:val="00B35307"/>
    <w:rsid w:val="00B3598C"/>
    <w:rsid w:val="00B4491E"/>
    <w:rsid w:val="00B52991"/>
    <w:rsid w:val="00B54882"/>
    <w:rsid w:val="00B666A4"/>
    <w:rsid w:val="00B704D2"/>
    <w:rsid w:val="00B715D4"/>
    <w:rsid w:val="00B74617"/>
    <w:rsid w:val="00B750DE"/>
    <w:rsid w:val="00B84D10"/>
    <w:rsid w:val="00B85297"/>
    <w:rsid w:val="00B91493"/>
    <w:rsid w:val="00B929B0"/>
    <w:rsid w:val="00B93766"/>
    <w:rsid w:val="00B93D4F"/>
    <w:rsid w:val="00B951AB"/>
    <w:rsid w:val="00BA37EA"/>
    <w:rsid w:val="00BA59A3"/>
    <w:rsid w:val="00BB3075"/>
    <w:rsid w:val="00BB3240"/>
    <w:rsid w:val="00BB7067"/>
    <w:rsid w:val="00BC0303"/>
    <w:rsid w:val="00BD16D2"/>
    <w:rsid w:val="00BD4E4E"/>
    <w:rsid w:val="00BE2BEF"/>
    <w:rsid w:val="00BE3265"/>
    <w:rsid w:val="00BE3354"/>
    <w:rsid w:val="00BE5572"/>
    <w:rsid w:val="00BE5763"/>
    <w:rsid w:val="00BE79E6"/>
    <w:rsid w:val="00BF1952"/>
    <w:rsid w:val="00C0499C"/>
    <w:rsid w:val="00C05F16"/>
    <w:rsid w:val="00C060F6"/>
    <w:rsid w:val="00C1790D"/>
    <w:rsid w:val="00C2486B"/>
    <w:rsid w:val="00C2587B"/>
    <w:rsid w:val="00C2686C"/>
    <w:rsid w:val="00C311CB"/>
    <w:rsid w:val="00C356AA"/>
    <w:rsid w:val="00C3599D"/>
    <w:rsid w:val="00C35B78"/>
    <w:rsid w:val="00C37E03"/>
    <w:rsid w:val="00C41113"/>
    <w:rsid w:val="00C41967"/>
    <w:rsid w:val="00C44CC8"/>
    <w:rsid w:val="00C47014"/>
    <w:rsid w:val="00C47D37"/>
    <w:rsid w:val="00C47DFA"/>
    <w:rsid w:val="00C71042"/>
    <w:rsid w:val="00C730C1"/>
    <w:rsid w:val="00C75B54"/>
    <w:rsid w:val="00C84822"/>
    <w:rsid w:val="00C905FF"/>
    <w:rsid w:val="00C908C0"/>
    <w:rsid w:val="00C91C20"/>
    <w:rsid w:val="00C91C23"/>
    <w:rsid w:val="00C93E8C"/>
    <w:rsid w:val="00C94A9B"/>
    <w:rsid w:val="00C95156"/>
    <w:rsid w:val="00C957B2"/>
    <w:rsid w:val="00C97F36"/>
    <w:rsid w:val="00CA153B"/>
    <w:rsid w:val="00CA605C"/>
    <w:rsid w:val="00CB0935"/>
    <w:rsid w:val="00CB236E"/>
    <w:rsid w:val="00CB2A65"/>
    <w:rsid w:val="00CC2304"/>
    <w:rsid w:val="00CC4AE4"/>
    <w:rsid w:val="00CC7DC9"/>
    <w:rsid w:val="00CE0E5C"/>
    <w:rsid w:val="00CE5902"/>
    <w:rsid w:val="00CF1BF3"/>
    <w:rsid w:val="00CF2179"/>
    <w:rsid w:val="00CF42D6"/>
    <w:rsid w:val="00CF7348"/>
    <w:rsid w:val="00CF75AB"/>
    <w:rsid w:val="00D02036"/>
    <w:rsid w:val="00D022A8"/>
    <w:rsid w:val="00D11194"/>
    <w:rsid w:val="00D11BDC"/>
    <w:rsid w:val="00D1295B"/>
    <w:rsid w:val="00D13C7D"/>
    <w:rsid w:val="00D17338"/>
    <w:rsid w:val="00D225C5"/>
    <w:rsid w:val="00D22D2A"/>
    <w:rsid w:val="00D24718"/>
    <w:rsid w:val="00D253EE"/>
    <w:rsid w:val="00D3054C"/>
    <w:rsid w:val="00D3177B"/>
    <w:rsid w:val="00D3491A"/>
    <w:rsid w:val="00D40952"/>
    <w:rsid w:val="00D41784"/>
    <w:rsid w:val="00D41C1D"/>
    <w:rsid w:val="00D44A5B"/>
    <w:rsid w:val="00D50B4D"/>
    <w:rsid w:val="00D510AB"/>
    <w:rsid w:val="00D51150"/>
    <w:rsid w:val="00D556AB"/>
    <w:rsid w:val="00D66878"/>
    <w:rsid w:val="00D673BA"/>
    <w:rsid w:val="00D7438B"/>
    <w:rsid w:val="00D758EF"/>
    <w:rsid w:val="00D7617C"/>
    <w:rsid w:val="00D85323"/>
    <w:rsid w:val="00D85F2C"/>
    <w:rsid w:val="00D8663F"/>
    <w:rsid w:val="00D878AB"/>
    <w:rsid w:val="00D93500"/>
    <w:rsid w:val="00D96965"/>
    <w:rsid w:val="00DA2627"/>
    <w:rsid w:val="00DA6DB8"/>
    <w:rsid w:val="00DB1E4D"/>
    <w:rsid w:val="00DB4CDB"/>
    <w:rsid w:val="00DC0101"/>
    <w:rsid w:val="00DC603D"/>
    <w:rsid w:val="00DC6751"/>
    <w:rsid w:val="00DC7E0F"/>
    <w:rsid w:val="00DD0A92"/>
    <w:rsid w:val="00DD3765"/>
    <w:rsid w:val="00DE0B06"/>
    <w:rsid w:val="00DE215F"/>
    <w:rsid w:val="00DE2BEC"/>
    <w:rsid w:val="00DE49F9"/>
    <w:rsid w:val="00DE4C4C"/>
    <w:rsid w:val="00DE4E94"/>
    <w:rsid w:val="00DF0CE2"/>
    <w:rsid w:val="00DF2FF4"/>
    <w:rsid w:val="00DF515F"/>
    <w:rsid w:val="00DF5D8B"/>
    <w:rsid w:val="00DF5FE7"/>
    <w:rsid w:val="00DF7D23"/>
    <w:rsid w:val="00E03A26"/>
    <w:rsid w:val="00E03F60"/>
    <w:rsid w:val="00E04761"/>
    <w:rsid w:val="00E04EB8"/>
    <w:rsid w:val="00E12D86"/>
    <w:rsid w:val="00E16867"/>
    <w:rsid w:val="00E23900"/>
    <w:rsid w:val="00E260FD"/>
    <w:rsid w:val="00E30B1A"/>
    <w:rsid w:val="00E30CD3"/>
    <w:rsid w:val="00E331C9"/>
    <w:rsid w:val="00E3434A"/>
    <w:rsid w:val="00E37C7A"/>
    <w:rsid w:val="00E4125D"/>
    <w:rsid w:val="00E43A0D"/>
    <w:rsid w:val="00E44583"/>
    <w:rsid w:val="00E47F40"/>
    <w:rsid w:val="00E545E1"/>
    <w:rsid w:val="00E556CA"/>
    <w:rsid w:val="00E570FC"/>
    <w:rsid w:val="00E57743"/>
    <w:rsid w:val="00E57959"/>
    <w:rsid w:val="00E62881"/>
    <w:rsid w:val="00E63C62"/>
    <w:rsid w:val="00E63FDD"/>
    <w:rsid w:val="00E6673F"/>
    <w:rsid w:val="00E66D78"/>
    <w:rsid w:val="00E75F87"/>
    <w:rsid w:val="00E80BF0"/>
    <w:rsid w:val="00E8301C"/>
    <w:rsid w:val="00E85FBA"/>
    <w:rsid w:val="00E86F84"/>
    <w:rsid w:val="00E91006"/>
    <w:rsid w:val="00E928AB"/>
    <w:rsid w:val="00E950BD"/>
    <w:rsid w:val="00E950C8"/>
    <w:rsid w:val="00E959FB"/>
    <w:rsid w:val="00E96447"/>
    <w:rsid w:val="00E964F4"/>
    <w:rsid w:val="00E97433"/>
    <w:rsid w:val="00E97AA7"/>
    <w:rsid w:val="00EA03C0"/>
    <w:rsid w:val="00EA0805"/>
    <w:rsid w:val="00EA2F3D"/>
    <w:rsid w:val="00EA2FF8"/>
    <w:rsid w:val="00EB4DE4"/>
    <w:rsid w:val="00EB55EC"/>
    <w:rsid w:val="00EC14A1"/>
    <w:rsid w:val="00EC3BEB"/>
    <w:rsid w:val="00ED33F5"/>
    <w:rsid w:val="00ED6556"/>
    <w:rsid w:val="00EE3A15"/>
    <w:rsid w:val="00EE7584"/>
    <w:rsid w:val="00EF2A75"/>
    <w:rsid w:val="00EF2EA7"/>
    <w:rsid w:val="00EF5A68"/>
    <w:rsid w:val="00EF5BC2"/>
    <w:rsid w:val="00F02D6C"/>
    <w:rsid w:val="00F0569B"/>
    <w:rsid w:val="00F05F32"/>
    <w:rsid w:val="00F11813"/>
    <w:rsid w:val="00F14640"/>
    <w:rsid w:val="00F14C26"/>
    <w:rsid w:val="00F1544C"/>
    <w:rsid w:val="00F15A78"/>
    <w:rsid w:val="00F232A2"/>
    <w:rsid w:val="00F24915"/>
    <w:rsid w:val="00F2526B"/>
    <w:rsid w:val="00F2645B"/>
    <w:rsid w:val="00F35977"/>
    <w:rsid w:val="00F42483"/>
    <w:rsid w:val="00F42586"/>
    <w:rsid w:val="00F4444E"/>
    <w:rsid w:val="00F479E9"/>
    <w:rsid w:val="00F52A91"/>
    <w:rsid w:val="00F56325"/>
    <w:rsid w:val="00F64922"/>
    <w:rsid w:val="00F65B25"/>
    <w:rsid w:val="00F6776E"/>
    <w:rsid w:val="00F7081A"/>
    <w:rsid w:val="00F71FB8"/>
    <w:rsid w:val="00F72509"/>
    <w:rsid w:val="00F72837"/>
    <w:rsid w:val="00F73FC7"/>
    <w:rsid w:val="00F75182"/>
    <w:rsid w:val="00F76ED4"/>
    <w:rsid w:val="00F802C5"/>
    <w:rsid w:val="00F803F8"/>
    <w:rsid w:val="00F80DF5"/>
    <w:rsid w:val="00F81D9D"/>
    <w:rsid w:val="00F82566"/>
    <w:rsid w:val="00F84D54"/>
    <w:rsid w:val="00F90D11"/>
    <w:rsid w:val="00F94FE9"/>
    <w:rsid w:val="00F968CE"/>
    <w:rsid w:val="00F9719F"/>
    <w:rsid w:val="00FA32E6"/>
    <w:rsid w:val="00FA38E1"/>
    <w:rsid w:val="00FA7CEB"/>
    <w:rsid w:val="00FC240B"/>
    <w:rsid w:val="00FC285F"/>
    <w:rsid w:val="00FC3237"/>
    <w:rsid w:val="00FC44BC"/>
    <w:rsid w:val="00FC487D"/>
    <w:rsid w:val="00FC6285"/>
    <w:rsid w:val="00FE02AF"/>
    <w:rsid w:val="00FE1182"/>
    <w:rsid w:val="00FE1DF3"/>
    <w:rsid w:val="00FE3030"/>
    <w:rsid w:val="00FE496C"/>
    <w:rsid w:val="00FE4E0B"/>
    <w:rsid w:val="00FE6D68"/>
    <w:rsid w:val="00FE6E74"/>
    <w:rsid w:val="00FE7CA7"/>
    <w:rsid w:val="00FF6016"/>
    <w:rsid w:val="0BB57EE5"/>
    <w:rsid w:val="0F771CCF"/>
    <w:rsid w:val="10B755B0"/>
    <w:rsid w:val="15C34037"/>
    <w:rsid w:val="15DD6C42"/>
    <w:rsid w:val="1FB34920"/>
    <w:rsid w:val="289C18BC"/>
    <w:rsid w:val="2946369F"/>
    <w:rsid w:val="323B9D8C"/>
    <w:rsid w:val="36AE7D6D"/>
    <w:rsid w:val="37EF56F3"/>
    <w:rsid w:val="37F9107B"/>
    <w:rsid w:val="38D51F51"/>
    <w:rsid w:val="39776B90"/>
    <w:rsid w:val="3B3D9675"/>
    <w:rsid w:val="3E4D7200"/>
    <w:rsid w:val="3F813922"/>
    <w:rsid w:val="3FBEB0C6"/>
    <w:rsid w:val="3FFDEC68"/>
    <w:rsid w:val="43076007"/>
    <w:rsid w:val="43866F99"/>
    <w:rsid w:val="441D09CA"/>
    <w:rsid w:val="44AB561E"/>
    <w:rsid w:val="4BBE997A"/>
    <w:rsid w:val="4DFC087D"/>
    <w:rsid w:val="4E50267E"/>
    <w:rsid w:val="50521846"/>
    <w:rsid w:val="53F7C6D2"/>
    <w:rsid w:val="54E55315"/>
    <w:rsid w:val="57DF76A8"/>
    <w:rsid w:val="5BC97609"/>
    <w:rsid w:val="5FDFCD82"/>
    <w:rsid w:val="5FF79B03"/>
    <w:rsid w:val="5FFFF6AC"/>
    <w:rsid w:val="617D634E"/>
    <w:rsid w:val="61E447C1"/>
    <w:rsid w:val="669075D4"/>
    <w:rsid w:val="66FFD91F"/>
    <w:rsid w:val="67D646B2"/>
    <w:rsid w:val="67FF4B71"/>
    <w:rsid w:val="68DD1143"/>
    <w:rsid w:val="6AA4F2F8"/>
    <w:rsid w:val="6B0F7ED4"/>
    <w:rsid w:val="6BFF8E39"/>
    <w:rsid w:val="6FB65158"/>
    <w:rsid w:val="6FF3372C"/>
    <w:rsid w:val="6FF9C56C"/>
    <w:rsid w:val="70D1C179"/>
    <w:rsid w:val="7353C74C"/>
    <w:rsid w:val="73BE4A8B"/>
    <w:rsid w:val="73FB122E"/>
    <w:rsid w:val="76B58C40"/>
    <w:rsid w:val="77F65C81"/>
    <w:rsid w:val="7B7ACDCF"/>
    <w:rsid w:val="7BB9A587"/>
    <w:rsid w:val="7BC9569A"/>
    <w:rsid w:val="7BE25DCE"/>
    <w:rsid w:val="7DEB5E9B"/>
    <w:rsid w:val="7E7FE2EF"/>
    <w:rsid w:val="7EBE32F4"/>
    <w:rsid w:val="7EBFFF2F"/>
    <w:rsid w:val="7EF9F944"/>
    <w:rsid w:val="7F2FFC1F"/>
    <w:rsid w:val="7F3F3C6F"/>
    <w:rsid w:val="7FB96B1D"/>
    <w:rsid w:val="7FDF1326"/>
    <w:rsid w:val="7FDFF28C"/>
    <w:rsid w:val="7FFD833B"/>
    <w:rsid w:val="8DF17B17"/>
    <w:rsid w:val="9EAF5BE9"/>
    <w:rsid w:val="9FF7756D"/>
    <w:rsid w:val="BDED7895"/>
    <w:rsid w:val="BE8D5CD9"/>
    <w:rsid w:val="BEE5C27F"/>
    <w:rsid w:val="BEFAE4E0"/>
    <w:rsid w:val="BF7ECC69"/>
    <w:rsid w:val="BFAD0E9B"/>
    <w:rsid w:val="BFFF23C0"/>
    <w:rsid w:val="CEEEB50E"/>
    <w:rsid w:val="DCFE3F26"/>
    <w:rsid w:val="DE9E0F8D"/>
    <w:rsid w:val="DFD3D532"/>
    <w:rsid w:val="DFF8CDF6"/>
    <w:rsid w:val="E3FF0E44"/>
    <w:rsid w:val="EB9B5A53"/>
    <w:rsid w:val="EB9B8F49"/>
    <w:rsid w:val="EBB25BBB"/>
    <w:rsid w:val="EBFDD473"/>
    <w:rsid w:val="F1FF0817"/>
    <w:rsid w:val="F3D78AAC"/>
    <w:rsid w:val="F5E73F84"/>
    <w:rsid w:val="F6A76A86"/>
    <w:rsid w:val="F7572D27"/>
    <w:rsid w:val="F7F978A2"/>
    <w:rsid w:val="F7FB61BD"/>
    <w:rsid w:val="F9EF6CE6"/>
    <w:rsid w:val="FBBE2D4D"/>
    <w:rsid w:val="FBBF50B2"/>
    <w:rsid w:val="FBD72589"/>
    <w:rsid w:val="FBED558D"/>
    <w:rsid w:val="FBFFD7C8"/>
    <w:rsid w:val="FDDFE888"/>
    <w:rsid w:val="FE1EEC8F"/>
    <w:rsid w:val="FE462289"/>
    <w:rsid w:val="FE6AF4D5"/>
    <w:rsid w:val="FE6F9193"/>
    <w:rsid w:val="FEAFEB1A"/>
    <w:rsid w:val="FEF1794F"/>
    <w:rsid w:val="FF3F5FB2"/>
    <w:rsid w:val="FFBFDB20"/>
    <w:rsid w:val="FFCD680C"/>
    <w:rsid w:val="FFD697E7"/>
  </w:rsids>
  <m:mathPr>
    <m:mathFont m:val="Cambria Math"/>
    <m:brkBin m:val="before"/>
    <m:brkBinSub m:val="--"/>
    <m:smallFrac m:val="1"/>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19"/>
    <w:qFormat/>
    <w:uiPriority w:val="0"/>
    <w:rPr>
      <w:rFonts w:ascii="Times New Roman" w:hAnsi="Times New Roman"/>
      <w:kern w:val="0"/>
      <w:sz w:val="20"/>
      <w:szCs w:val="24"/>
    </w:rPr>
  </w:style>
  <w:style w:type="paragraph" w:styleId="4">
    <w:name w:val="Closing"/>
    <w:basedOn w:val="1"/>
    <w:link w:val="20"/>
    <w:qFormat/>
    <w:uiPriority w:val="0"/>
    <w:pPr>
      <w:ind w:left="100" w:leftChars="2100"/>
    </w:pPr>
    <w:rPr>
      <w:rFonts w:ascii="Times New Roman" w:hAnsi="Times New Roman"/>
      <w:kern w:val="0"/>
      <w:sz w:val="20"/>
      <w:szCs w:val="24"/>
    </w:rPr>
  </w:style>
  <w:style w:type="paragraph" w:styleId="5">
    <w:name w:val="Body Text"/>
    <w:basedOn w:val="1"/>
    <w:link w:val="17"/>
    <w:semiHidden/>
    <w:unhideWhenUsed/>
    <w:qFormat/>
    <w:uiPriority w:val="99"/>
    <w:pPr>
      <w:spacing w:after="120"/>
    </w:pPr>
  </w:style>
  <w:style w:type="paragraph" w:styleId="6">
    <w:name w:val="Plain Text"/>
    <w:basedOn w:val="1"/>
    <w:qFormat/>
    <w:uiPriority w:val="99"/>
    <w:rPr>
      <w:rFonts w:ascii="宋体" w:hAnsi="Courier New"/>
      <w:szCs w:val="21"/>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kern w:val="0"/>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页眉 字符"/>
    <w:link w:val="9"/>
    <w:qFormat/>
    <w:uiPriority w:val="99"/>
    <w:rPr>
      <w:sz w:val="18"/>
      <w:szCs w:val="18"/>
    </w:rPr>
  </w:style>
  <w:style w:type="character" w:customStyle="1" w:styleId="15">
    <w:name w:val="页脚 字符"/>
    <w:link w:val="8"/>
    <w:qFormat/>
    <w:uiPriority w:val="99"/>
    <w:rPr>
      <w:sz w:val="18"/>
      <w:szCs w:val="18"/>
    </w:rPr>
  </w:style>
  <w:style w:type="paragraph" w:customStyle="1" w:styleId="16">
    <w:name w:val="表格内容"/>
    <w:basedOn w:val="5"/>
    <w:qFormat/>
    <w:uiPriority w:val="0"/>
  </w:style>
  <w:style w:type="character" w:customStyle="1" w:styleId="17">
    <w:name w:val="正文文本 字符"/>
    <w:basedOn w:val="12"/>
    <w:link w:val="5"/>
    <w:semiHidden/>
    <w:qFormat/>
    <w:uiPriority w:val="99"/>
  </w:style>
  <w:style w:type="character" w:customStyle="1" w:styleId="18">
    <w:name w:val="批注框文本 字符"/>
    <w:link w:val="7"/>
    <w:semiHidden/>
    <w:qFormat/>
    <w:uiPriority w:val="99"/>
    <w:rPr>
      <w:kern w:val="2"/>
      <w:sz w:val="18"/>
      <w:szCs w:val="18"/>
    </w:rPr>
  </w:style>
  <w:style w:type="character" w:customStyle="1" w:styleId="19">
    <w:name w:val="称呼 字符"/>
    <w:link w:val="3"/>
    <w:qFormat/>
    <w:uiPriority w:val="0"/>
    <w:rPr>
      <w:rFonts w:ascii="Times New Roman" w:hAnsi="Times New Roman"/>
      <w:szCs w:val="24"/>
    </w:rPr>
  </w:style>
  <w:style w:type="character" w:customStyle="1" w:styleId="20">
    <w:name w:val="结束语 字符"/>
    <w:link w:val="4"/>
    <w:qFormat/>
    <w:uiPriority w:val="0"/>
    <w:rPr>
      <w:rFonts w:ascii="Times New Roman" w:hAnsi="Times New Roman"/>
      <w:szCs w:val="24"/>
    </w:rPr>
  </w:style>
  <w:style w:type="character" w:customStyle="1" w:styleId="21">
    <w:name w:val="结束语 Char1"/>
    <w:semiHidden/>
    <w:qFormat/>
    <w:uiPriority w:val="99"/>
    <w:rPr>
      <w:kern w:val="2"/>
      <w:sz w:val="21"/>
      <w:szCs w:val="22"/>
    </w:rPr>
  </w:style>
  <w:style w:type="character" w:customStyle="1" w:styleId="22">
    <w:name w:val="称呼 Char1"/>
    <w:semiHidden/>
    <w:qFormat/>
    <w:uiPriority w:val="99"/>
    <w:rPr>
      <w:kern w:val="2"/>
      <w:sz w:val="21"/>
      <w:szCs w:val="22"/>
    </w:rPr>
  </w:style>
  <w:style w:type="paragraph" w:customStyle="1" w:styleId="23">
    <w:name w:val="fulltext-wrap_title"/>
    <w:basedOn w:val="1"/>
    <w:qFormat/>
    <w:uiPriority w:val="0"/>
    <w:pPr>
      <w:jc w:val="center"/>
    </w:pPr>
    <w:rPr>
      <w:sz w:val="30"/>
      <w:szCs w:val="30"/>
    </w:rPr>
  </w:style>
  <w:style w:type="paragraph" w:customStyle="1" w:styleId="24">
    <w:name w:val="div"/>
    <w:basedOn w:val="1"/>
    <w:qFormat/>
    <w:uiPriority w:val="0"/>
    <w:pPr>
      <w:textAlignment w:val="baseline"/>
    </w:pPr>
    <w:rPr>
      <w:sz w:val="24"/>
      <w:szCs w:val="24"/>
    </w:rPr>
  </w:style>
  <w:style w:type="character" w:customStyle="1" w:styleId="25">
    <w:name w:val="fulltext-wrap_navtiao"/>
    <w:basedOn w:val="12"/>
    <w:qFormat/>
    <w:uiPriority w:val="0"/>
    <w:rPr>
      <w:b/>
      <w:bCs/>
    </w:rPr>
  </w:style>
  <w:style w:type="paragraph" w:customStyle="1" w:styleId="26">
    <w:name w:val="fulltext-wrap_fulltext_TiaoYinV2"/>
    <w:basedOn w:val="1"/>
    <w:qFormat/>
    <w:uiPriority w:val="0"/>
    <w:pPr>
      <w:spacing w:line="384" w:lineRule="auto"/>
    </w:pPr>
    <w:rPr>
      <w:b/>
      <w:bCs/>
      <w:color w:val="218FC4"/>
      <w:szCs w:val="21"/>
    </w:rPr>
  </w:style>
  <w:style w:type="paragraph" w:customStyle="1" w:styleId="27">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806</Words>
  <Characters>4599</Characters>
  <Lines>38</Lines>
  <Paragraphs>10</Paragraphs>
  <TotalTime>8</TotalTime>
  <ScaleCrop>false</ScaleCrop>
  <LinksUpToDate>false</LinksUpToDate>
  <CharactersWithSpaces>5395</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2021-09-14T20:28:00Z</dcterms:created>
  <dc:creator>郭佳</dc:creator>
  <cp:lastModifiedBy>罗友敏</cp:lastModifiedBy>
  <cp:lastPrinted>2023-05-20T15:48:00Z</cp:lastPrinted>
  <dcterms:modified xsi:type="dcterms:W3CDTF">2024-08-19T10:25:21Z</dcterms:modified>
  <dc:title>深  圳  市  人  民  政  府</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F59576D4A6474752A3366FC43418A221</vt:lpwstr>
  </property>
</Properties>
</file>