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ascii="方正小标宋_GBK" w:hAnsi="宋体" w:eastAsia="方正小标宋_GBK"/>
          <w:color w:val="auto"/>
          <w:kern w:val="2"/>
          <w:sz w:val="44"/>
          <w:szCs w:val="22"/>
        </w:rPr>
      </w:pPr>
      <w:r>
        <w:rPr>
          <w:rFonts w:hint="eastAsia" w:ascii="方正小标宋_GBK" w:hAnsi="宋体" w:eastAsia="方正小标宋_GBK"/>
          <w:color w:val="auto"/>
          <w:kern w:val="2"/>
          <w:sz w:val="44"/>
          <w:szCs w:val="22"/>
        </w:rPr>
        <w:t>深  圳  市  人  民  政  府</w:t>
      </w:r>
    </w:p>
    <w:p>
      <w:pPr>
        <w:keepNext w:val="0"/>
        <w:keepLines w:val="0"/>
        <w:pageBreakBefore w:val="0"/>
        <w:widowControl w:val="0"/>
        <w:kinsoku/>
        <w:overflowPunct/>
        <w:topLinePunct w:val="0"/>
        <w:autoSpaceDE/>
        <w:autoSpaceDN/>
        <w:bidi w:val="0"/>
        <w:adjustRightInd/>
        <w:snapToGrid/>
        <w:spacing w:line="580" w:lineRule="exact"/>
        <w:jc w:val="center"/>
        <w:textAlignment w:val="auto"/>
        <w:rPr>
          <w:rFonts w:ascii="宋体" w:hAnsi="宋体"/>
          <w:bCs/>
          <w:color w:val="auto"/>
          <w:kern w:val="2"/>
          <w:sz w:val="44"/>
          <w:szCs w:val="22"/>
        </w:rPr>
      </w:pPr>
      <w:r>
        <w:rPr>
          <w:rFonts w:hint="eastAsia" w:ascii="方正小标宋_GBK" w:hAnsi="宋体" w:eastAsia="方正小标宋_GBK"/>
          <w:bCs/>
          <w:color w:val="auto"/>
          <w:kern w:val="2"/>
          <w:sz w:val="44"/>
          <w:szCs w:val="22"/>
        </w:rPr>
        <w:t>行政复议决定书</w:t>
      </w:r>
    </w:p>
    <w:p>
      <w:pPr>
        <w:keepNext w:val="0"/>
        <w:keepLines w:val="0"/>
        <w:pageBreakBefore w:val="0"/>
        <w:widowControl w:val="0"/>
        <w:kinsoku/>
        <w:overflowPunct/>
        <w:topLinePunct w:val="0"/>
        <w:autoSpaceDE/>
        <w:autoSpaceDN/>
        <w:bidi w:val="0"/>
        <w:adjustRightInd/>
        <w:snapToGrid/>
        <w:spacing w:line="580" w:lineRule="exact"/>
        <w:jc w:val="center"/>
        <w:textAlignment w:val="auto"/>
        <w:rPr>
          <w:color w:val="auto"/>
        </w:rPr>
      </w:pPr>
    </w:p>
    <w:p>
      <w:pPr>
        <w:keepNext w:val="0"/>
        <w:keepLines w:val="0"/>
        <w:pageBreakBefore w:val="0"/>
        <w:widowControl w:val="0"/>
        <w:kinsoku/>
        <w:overflowPunct/>
        <w:topLinePunct w:val="0"/>
        <w:autoSpaceDE/>
        <w:autoSpaceDN/>
        <w:bidi w:val="0"/>
        <w:adjustRightInd/>
        <w:snapToGrid/>
        <w:spacing w:line="580" w:lineRule="exact"/>
        <w:jc w:val="right"/>
        <w:textAlignment w:val="auto"/>
        <w:rPr>
          <w:rFonts w:ascii="仿宋_GB2312" w:hAnsi="仿宋_GB2312" w:eastAsia="仿宋_GB2312"/>
          <w:color w:val="auto"/>
          <w:sz w:val="32"/>
        </w:rPr>
      </w:pPr>
      <w:r>
        <w:rPr>
          <w:b/>
          <w:bCs/>
          <w:color w:val="auto"/>
          <w:sz w:val="36"/>
        </w:rPr>
        <w:t xml:space="preserve">       </w:t>
      </w:r>
      <w:r>
        <w:rPr>
          <w:rFonts w:eastAsia="仿宋_GB2312"/>
          <w:b/>
          <w:bCs/>
          <w:color w:val="auto"/>
          <w:sz w:val="36"/>
        </w:rPr>
        <w:t xml:space="preserve">                   </w:t>
      </w:r>
      <w:r>
        <w:rPr>
          <w:rFonts w:hint="eastAsia" w:ascii="仿宋_GB2312" w:hAnsi="仿宋_GB2312" w:eastAsia="仿宋_GB2312"/>
          <w:color w:val="auto"/>
          <w:sz w:val="32"/>
        </w:rPr>
        <w:t>深府行复〔202</w:t>
      </w:r>
      <w:r>
        <w:rPr>
          <w:rFonts w:hint="eastAsia" w:ascii="仿宋_GB2312" w:hAnsi="仿宋_GB2312" w:eastAsia="仿宋_GB2312"/>
          <w:color w:val="auto"/>
          <w:sz w:val="32"/>
          <w:lang w:val="en-US" w:eastAsia="zh-CN"/>
        </w:rPr>
        <w:t>4</w:t>
      </w:r>
      <w:r>
        <w:rPr>
          <w:rFonts w:hint="eastAsia" w:ascii="仿宋_GB2312" w:hAnsi="仿宋_GB2312" w:eastAsia="仿宋_GB2312"/>
          <w:color w:val="auto"/>
          <w:sz w:val="32"/>
        </w:rPr>
        <w:t>〕</w:t>
      </w:r>
      <w:r>
        <w:rPr>
          <w:rFonts w:hint="eastAsia" w:ascii="仿宋_GB2312" w:hAnsi="仿宋_GB2312" w:eastAsia="仿宋_GB2312"/>
          <w:color w:val="auto"/>
          <w:sz w:val="32"/>
          <w:lang w:val="en-US" w:eastAsia="zh-CN"/>
        </w:rPr>
        <w:t>983</w:t>
      </w:r>
      <w:r>
        <w:rPr>
          <w:rFonts w:hint="eastAsia" w:ascii="仿宋_GB2312" w:hAnsi="仿宋_GB2312" w:eastAsia="仿宋_GB2312"/>
          <w:color w:val="auto"/>
          <w:sz w:val="32"/>
        </w:rPr>
        <w:t>号</w:t>
      </w:r>
    </w:p>
    <w:p>
      <w:pPr>
        <w:keepNext w:val="0"/>
        <w:keepLines w:val="0"/>
        <w:pageBreakBefore w:val="0"/>
        <w:widowControl w:val="0"/>
        <w:kinsoku/>
        <w:overflowPunct/>
        <w:topLinePunct w:val="0"/>
        <w:autoSpaceDE/>
        <w:autoSpaceDN/>
        <w:bidi w:val="0"/>
        <w:adjustRightInd/>
        <w:snapToGrid/>
        <w:spacing w:line="580" w:lineRule="exact"/>
        <w:textAlignment w:val="auto"/>
        <w:rPr>
          <w:rFonts w:eastAsia="仿宋_GB2312"/>
          <w:color w:val="auto"/>
          <w:sz w:val="32"/>
          <w:u w:val="single"/>
        </w:rPr>
      </w:pP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Style w:val="5"/>
          <w:rFonts w:hint="default" w:ascii="仿宋_GB2312" w:hAnsi="仿宋_GB2312" w:eastAsia="仿宋_GB2312" w:cs="仿宋_GB2312"/>
          <w:color w:val="auto"/>
          <w:sz w:val="32"/>
          <w:szCs w:val="32"/>
          <w:lang w:val="en-US" w:eastAsia="zh-CN"/>
        </w:rPr>
      </w:pPr>
      <w:r>
        <w:rPr>
          <w:rFonts w:hint="eastAsia" w:eastAsia="黑体"/>
          <w:color w:val="auto"/>
          <w:sz w:val="32"/>
        </w:rPr>
        <w:t>申请人：</w:t>
      </w:r>
      <w:r>
        <w:rPr>
          <w:rFonts w:hint="eastAsia" w:ascii="仿宋_GB2312" w:hAnsi="仿宋_GB2312" w:eastAsia="仿宋_GB2312" w:cs="仿宋_GB2312"/>
          <w:color w:val="auto"/>
          <w:sz w:val="32"/>
          <w:lang w:val="en-US" w:eastAsia="zh-CN"/>
        </w:rPr>
        <w:t>龚某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rPr>
      </w:pPr>
      <w:r>
        <w:rPr>
          <w:rFonts w:hint="eastAsia" w:eastAsia="黑体"/>
          <w:color w:val="auto"/>
          <w:sz w:val="32"/>
        </w:rPr>
        <w:t>被申请人：</w:t>
      </w:r>
      <w:r>
        <w:rPr>
          <w:rFonts w:hint="eastAsia" w:ascii="仿宋_GB2312" w:hAnsi="仿宋_GB2312" w:eastAsia="仿宋_GB2312" w:cs="仿宋_GB2312"/>
          <w:color w:val="000000"/>
          <w:sz w:val="32"/>
          <w:szCs w:val="32"/>
        </w:rPr>
        <w:t>深圳市市场监督管理局</w:t>
      </w:r>
      <w:r>
        <w:rPr>
          <w:rFonts w:hint="eastAsia" w:ascii="仿宋_GB2312" w:hAnsi="仿宋_GB2312" w:eastAsia="仿宋_GB2312" w:cs="仿宋_GB2312"/>
          <w:color w:val="000000"/>
          <w:sz w:val="32"/>
          <w:szCs w:val="32"/>
          <w:lang w:val="en-US" w:eastAsia="zh-CN"/>
        </w:rPr>
        <w:t>龙华</w:t>
      </w:r>
      <w:r>
        <w:rPr>
          <w:rFonts w:hint="eastAsia" w:ascii="仿宋_GB2312" w:hAnsi="仿宋_GB2312" w:eastAsia="仿宋_GB2312" w:cs="仿宋_GB2312"/>
          <w:color w:val="000000"/>
          <w:sz w:val="32"/>
          <w:szCs w:val="32"/>
        </w:rPr>
        <w:t>监管局</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地址：</w:t>
      </w:r>
      <w:r>
        <w:rPr>
          <w:rFonts w:hint="eastAsia" w:ascii="仿宋_GB2312" w:hAnsi="仿宋_GB2312" w:eastAsia="仿宋_GB2312" w:cs="仿宋_GB2312"/>
          <w:color w:val="000000"/>
          <w:sz w:val="32"/>
          <w:szCs w:val="32"/>
          <w:lang w:val="zh-CN"/>
        </w:rPr>
        <w:t>深圳市</w:t>
      </w:r>
      <w:r>
        <w:rPr>
          <w:rFonts w:hint="eastAsia" w:ascii="仿宋_GB2312" w:hAnsi="仿宋_GB2312" w:eastAsia="仿宋_GB2312" w:cs="仿宋_GB2312"/>
          <w:color w:val="000000"/>
          <w:sz w:val="32"/>
          <w:szCs w:val="32"/>
          <w:lang w:val="en-US" w:eastAsia="zh-CN"/>
        </w:rPr>
        <w:t>龙华区观湖街道龙华大道6201号</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eastAsia="仿宋_GB2312"/>
          <w:color w:val="auto"/>
          <w:sz w:val="32"/>
          <w:lang w:val="zh-CN"/>
        </w:rPr>
      </w:pPr>
      <w:r>
        <w:rPr>
          <w:rFonts w:hint="eastAsia" w:ascii="仿宋_GB2312" w:hAnsi="仿宋_GB2312" w:eastAsia="仿宋_GB2312" w:cs="仿宋_GB2312"/>
          <w:color w:val="000000"/>
          <w:sz w:val="32"/>
          <w:szCs w:val="32"/>
        </w:rPr>
        <w:t>法定代表人：</w:t>
      </w:r>
      <w:r>
        <w:rPr>
          <w:rFonts w:hint="eastAsia" w:ascii="仿宋_GB2312" w:hAnsi="仿宋_GB2312" w:eastAsia="仿宋_GB2312" w:cs="仿宋_GB2312"/>
          <w:color w:val="000000"/>
          <w:sz w:val="32"/>
          <w:szCs w:val="32"/>
          <w:lang w:val="en-US" w:eastAsia="zh-CN"/>
        </w:rPr>
        <w:t>刘云启</w:t>
      </w:r>
      <w:r>
        <w:rPr>
          <w:rFonts w:hint="eastAsia" w:ascii="仿宋_GB2312" w:hAnsi="仿宋_GB2312" w:eastAsia="仿宋_GB2312" w:cs="仿宋_GB2312"/>
          <w:color w:val="000000"/>
          <w:sz w:val="32"/>
          <w:szCs w:val="32"/>
        </w:rPr>
        <w:t>，局长</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Times New Roman" w:eastAsia="仿宋_GB2312" w:cs="Times New Roman"/>
          <w:color w:val="auto"/>
          <w:kern w:val="2"/>
          <w:sz w:val="32"/>
          <w:szCs w:val="32"/>
        </w:rPr>
      </w:pP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申请人</w:t>
      </w:r>
      <w:r>
        <w:rPr>
          <w:rFonts w:hint="eastAsia" w:ascii="仿宋_GB2312" w:eastAsia="仿宋_GB2312"/>
          <w:color w:val="auto"/>
          <w:sz w:val="32"/>
          <w:szCs w:val="32"/>
          <w:lang w:eastAsia="zh-CN"/>
        </w:rPr>
        <w:t>不服</w:t>
      </w:r>
      <w:r>
        <w:rPr>
          <w:rFonts w:hint="eastAsia" w:ascii="仿宋_GB2312" w:eastAsia="仿宋_GB2312"/>
          <w:color w:val="auto"/>
          <w:sz w:val="32"/>
          <w:szCs w:val="32"/>
        </w:rPr>
        <w:t>被申请人</w:t>
      </w:r>
      <w:r>
        <w:rPr>
          <w:rFonts w:hint="default" w:ascii="仿宋_GB2312" w:hAnsi="仿宋_GB2312" w:eastAsia="仿宋_GB2312" w:cs="仿宋_GB2312"/>
          <w:color w:val="auto"/>
          <w:sz w:val="32"/>
          <w:szCs w:val="32"/>
          <w:lang w:val="en" w:eastAsia="zh-CN"/>
        </w:rPr>
        <w:t>对其关于</w:t>
      </w:r>
      <w:r>
        <w:rPr>
          <w:rFonts w:hint="eastAsia" w:ascii="仿宋_GB2312" w:hAnsi="仿宋_GB2312" w:eastAsia="仿宋_GB2312" w:cs="仿宋_GB2312"/>
          <w:color w:val="auto"/>
          <w:sz w:val="32"/>
          <w:szCs w:val="32"/>
          <w:lang w:val="en" w:eastAsia="zh-CN"/>
        </w:rPr>
        <w:t>深圳市××酒业有限公司的投诉作出的</w:t>
      </w:r>
      <w:r>
        <w:rPr>
          <w:rFonts w:hint="eastAsia" w:ascii="仿宋_GB2312" w:hAnsi="仿宋_GB2312" w:eastAsia="仿宋_GB2312" w:cs="仿宋_GB2312"/>
          <w:color w:val="auto"/>
          <w:sz w:val="32"/>
          <w:szCs w:val="32"/>
          <w:lang w:val="en-US" w:eastAsia="zh-CN"/>
        </w:rPr>
        <w:t>终止调解决定</w:t>
      </w:r>
      <w:r>
        <w:rPr>
          <w:rFonts w:hint="eastAsia" w:ascii="仿宋_GB2312" w:hAnsi="仿宋_GB2312" w:eastAsia="仿宋_GB2312"/>
          <w:color w:val="auto"/>
          <w:sz w:val="32"/>
          <w:lang w:val="en-US" w:eastAsia="zh-CN"/>
        </w:rPr>
        <w:t>，</w:t>
      </w:r>
      <w:r>
        <w:rPr>
          <w:rFonts w:hint="eastAsia" w:ascii="仿宋_GB2312" w:eastAsia="仿宋_GB2312"/>
          <w:color w:val="auto"/>
          <w:sz w:val="32"/>
          <w:szCs w:val="32"/>
        </w:rPr>
        <w:t>向本机关申请行政复议，本机关依法受理</w:t>
      </w:r>
      <w:r>
        <w:rPr>
          <w:rFonts w:hint="eastAsia" w:ascii="仿宋_GB2312" w:eastAsia="仿宋_GB2312"/>
          <w:color w:val="auto"/>
          <w:sz w:val="32"/>
          <w:szCs w:val="32"/>
          <w:lang w:eastAsia="zh-CN"/>
        </w:rPr>
        <w:t>，并适用普通程序审理</w:t>
      </w:r>
      <w:r>
        <w:rPr>
          <w:rFonts w:hint="eastAsia" w:ascii="仿宋_GB2312" w:eastAsia="仿宋_GB2312"/>
          <w:color w:val="auto"/>
          <w:sz w:val="32"/>
          <w:szCs w:val="32"/>
        </w:rPr>
        <w:t>。被申请人</w:t>
      </w:r>
      <w:r>
        <w:rPr>
          <w:rFonts w:hint="eastAsia" w:ascii="仿宋_GB2312" w:eastAsia="仿宋_GB2312"/>
          <w:bCs/>
          <w:color w:val="auto"/>
          <w:sz w:val="32"/>
          <w:szCs w:val="32"/>
        </w:rPr>
        <w:t>向本机关提交了书面答复及有关证据和依据，</w:t>
      </w:r>
      <w:r>
        <w:rPr>
          <w:rFonts w:hint="eastAsia" w:ascii="仿宋_GB2312" w:eastAsia="仿宋_GB2312"/>
          <w:color w:val="auto"/>
          <w:sz w:val="32"/>
          <w:szCs w:val="32"/>
        </w:rPr>
        <w:t>本案现已审理终结。</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default" w:ascii="仿宋_GB2312" w:eastAsia="仿宋_GB2312" w:cs="Times New Roman"/>
          <w:color w:val="auto"/>
          <w:sz w:val="32"/>
          <w:szCs w:val="32"/>
          <w:lang w:val="en-US" w:eastAsia="zh-CN"/>
        </w:rPr>
      </w:pPr>
      <w:r>
        <w:rPr>
          <w:rFonts w:hint="eastAsia" w:ascii="仿宋_GB2312" w:hAnsi="仿宋_GB2312" w:eastAsia="黑体"/>
          <w:color w:val="auto"/>
          <w:sz w:val="32"/>
        </w:rPr>
        <w:t>经查</w:t>
      </w:r>
      <w:r>
        <w:rPr>
          <w:rFonts w:hint="eastAsia" w:ascii="仿宋_GB2312" w:hAnsi="仿宋_GB2312" w:eastAsia="黑体"/>
          <w:bCs/>
          <w:color w:val="auto"/>
          <w:sz w:val="32"/>
        </w:rPr>
        <w:t>：</w:t>
      </w:r>
      <w:r>
        <w:rPr>
          <w:rFonts w:hint="eastAsia" w:ascii="仿宋_GB2312" w:hAnsi="Times New Roman" w:eastAsia="仿宋_GB2312" w:cs="Times New Roman"/>
          <w:color w:val="auto"/>
          <w:sz w:val="32"/>
          <w:szCs w:val="32"/>
          <w:lang w:val="en-US" w:eastAsia="zh-CN"/>
        </w:rPr>
        <w:t>202</w:t>
      </w:r>
      <w:r>
        <w:rPr>
          <w:rFonts w:hint="eastAsia" w:ascii="仿宋_GB2312" w:eastAsia="仿宋_GB2312" w:cs="Times New Roman"/>
          <w:color w:val="auto"/>
          <w:sz w:val="32"/>
          <w:szCs w:val="32"/>
          <w:lang w:val="en-US" w:eastAsia="zh-CN"/>
        </w:rPr>
        <w:t>4</w:t>
      </w:r>
      <w:r>
        <w:rPr>
          <w:rFonts w:hint="eastAsia" w:ascii="仿宋_GB2312" w:hAnsi="Times New Roman" w:eastAsia="仿宋_GB2312" w:cs="Times New Roman"/>
          <w:color w:val="auto"/>
          <w:sz w:val="32"/>
          <w:szCs w:val="32"/>
          <w:lang w:val="en-US" w:eastAsia="zh-CN"/>
        </w:rPr>
        <w:t>年1月2</w:t>
      </w:r>
      <w:r>
        <w:rPr>
          <w:rFonts w:hint="eastAsia" w:ascii="仿宋_GB2312" w:eastAsia="仿宋_GB2312" w:cs="Times New Roman"/>
          <w:color w:val="auto"/>
          <w:sz w:val="32"/>
          <w:szCs w:val="32"/>
          <w:lang w:val="en-US" w:eastAsia="zh-CN"/>
        </w:rPr>
        <w:t>4</w:t>
      </w:r>
      <w:r>
        <w:rPr>
          <w:rFonts w:hint="eastAsia" w:ascii="仿宋_GB2312" w:hAnsi="Times New Roman" w:eastAsia="仿宋_GB2312" w:cs="Times New Roman"/>
          <w:color w:val="auto"/>
          <w:sz w:val="32"/>
          <w:szCs w:val="32"/>
          <w:lang w:val="en-US" w:eastAsia="zh-CN"/>
        </w:rPr>
        <w:t>日，被申请人收到申请人</w:t>
      </w:r>
      <w:r>
        <w:rPr>
          <w:rFonts w:hint="eastAsia" w:ascii="仿宋_GB2312" w:eastAsia="仿宋_GB2312" w:cs="Times New Roman"/>
          <w:color w:val="auto"/>
          <w:sz w:val="32"/>
          <w:szCs w:val="32"/>
          <w:lang w:val="en-US" w:eastAsia="zh-CN"/>
        </w:rPr>
        <w:t>邮寄的</w:t>
      </w:r>
      <w:r>
        <w:rPr>
          <w:rFonts w:hint="eastAsia" w:ascii="仿宋_GB2312" w:hAnsi="Times New Roman" w:eastAsia="仿宋_GB2312" w:cs="Times New Roman"/>
          <w:color w:val="auto"/>
          <w:sz w:val="32"/>
          <w:szCs w:val="32"/>
          <w:lang w:val="en-US" w:eastAsia="zh-CN"/>
        </w:rPr>
        <w:t>《投诉举报</w:t>
      </w:r>
      <w:r>
        <w:rPr>
          <w:rFonts w:hint="eastAsia" w:ascii="仿宋_GB2312" w:eastAsia="仿宋_GB2312" w:cs="Times New Roman"/>
          <w:color w:val="auto"/>
          <w:sz w:val="32"/>
          <w:szCs w:val="32"/>
          <w:lang w:val="en-US" w:eastAsia="zh-CN"/>
        </w:rPr>
        <w:t>信</w:t>
      </w:r>
      <w:r>
        <w:rPr>
          <w:rFonts w:hint="eastAsia" w:ascii="仿宋_GB2312" w:hAnsi="Times New Roman" w:eastAsia="仿宋_GB2312" w:cs="Times New Roman"/>
          <w:color w:val="auto"/>
          <w:sz w:val="32"/>
          <w:szCs w:val="32"/>
          <w:lang w:val="en-US" w:eastAsia="zh-CN"/>
        </w:rPr>
        <w:t>》</w:t>
      </w:r>
      <w:r>
        <w:rPr>
          <w:rFonts w:hint="eastAsia" w:ascii="仿宋_GB2312" w:eastAsia="仿宋_GB2312" w:cs="Times New Roman"/>
          <w:color w:val="auto"/>
          <w:sz w:val="32"/>
          <w:szCs w:val="32"/>
          <w:lang w:val="en-US" w:eastAsia="zh-CN"/>
        </w:rPr>
        <w:t>等材料</w:t>
      </w:r>
      <w:r>
        <w:rPr>
          <w:rFonts w:hint="eastAsia" w:ascii="仿宋_GB2312" w:hAnsi="Times New Roman" w:eastAsia="仿宋_GB2312" w:cs="Times New Roman"/>
          <w:color w:val="auto"/>
          <w:sz w:val="32"/>
          <w:szCs w:val="32"/>
          <w:lang w:val="en-US" w:eastAsia="zh-CN"/>
        </w:rPr>
        <w:t>。申请人</w:t>
      </w:r>
      <w:r>
        <w:rPr>
          <w:rFonts w:hint="eastAsia" w:ascii="仿宋_GB2312" w:eastAsia="仿宋_GB2312" w:cs="Times New Roman"/>
          <w:color w:val="auto"/>
          <w:sz w:val="32"/>
          <w:szCs w:val="32"/>
          <w:lang w:val="en-US" w:eastAsia="zh-CN"/>
        </w:rPr>
        <w:t>投诉举报深圳市××酒业有限公司，称其在饭店购买了进口××红酒，发现中文标签上没有标注联系方式，主张深圳市××酒业有限公司为经销商，要求退货、赔偿、处罚等。同日，被申请人对该投诉举报进行登记（编号：21440309002024</w:t>
      </w:r>
      <w:r>
        <w:rPr>
          <w:rFonts w:hint="eastAsia" w:ascii="仿宋_GB2312" w:hAnsi="仿宋_GB2312" w:eastAsia="仿宋_GB2312" w:cs="仿宋_GB2312"/>
          <w:sz w:val="32"/>
          <w:szCs w:val="32"/>
          <w:lang w:eastAsia="zh-CN"/>
        </w:rPr>
        <w:t>××</w:t>
      </w:r>
      <w:r>
        <w:rPr>
          <w:rFonts w:hint="eastAsia" w:ascii="仿宋_GB2312" w:eastAsia="仿宋_GB2312" w:cs="Times New Roman"/>
          <w:color w:val="auto"/>
          <w:sz w:val="32"/>
          <w:szCs w:val="32"/>
          <w:lang w:val="en-US" w:eastAsia="zh-CN"/>
        </w:rPr>
        <w:t>）。</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2024年1月30日，被申请人决定受理上述投诉。同日，被申请人对被投诉人进行现场检查，现场执法人员将申请人的退赔诉求告知申请人。</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default"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2024年2月5日，被投诉人出具《情况说明》，明确拒绝与申请人调解等内容。</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default"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highlight w:val="none"/>
          <w:lang w:val="en-US" w:eastAsia="zh-CN"/>
        </w:rPr>
        <w:t>2024年</w:t>
      </w:r>
      <w:r>
        <w:rPr>
          <w:rFonts w:hint="eastAsia" w:ascii="仿宋_GB2312"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val="en-US" w:eastAsia="zh-CN"/>
        </w:rPr>
        <w:t>月2</w:t>
      </w:r>
      <w:r>
        <w:rPr>
          <w:rFonts w:hint="eastAsia" w:ascii="仿宋_GB2312" w:eastAsia="仿宋_GB2312" w:cs="Times New Roman"/>
          <w:color w:val="auto"/>
          <w:sz w:val="32"/>
          <w:szCs w:val="32"/>
          <w:highlight w:val="none"/>
          <w:lang w:val="en-US" w:eastAsia="zh-CN"/>
        </w:rPr>
        <w:t>3</w:t>
      </w:r>
      <w:r>
        <w:rPr>
          <w:rFonts w:hint="eastAsia" w:ascii="仿宋_GB2312" w:hAnsi="Times New Roman" w:eastAsia="仿宋_GB2312" w:cs="Times New Roman"/>
          <w:color w:val="auto"/>
          <w:sz w:val="32"/>
          <w:szCs w:val="32"/>
          <w:highlight w:val="none"/>
          <w:lang w:val="en-US" w:eastAsia="zh-CN"/>
        </w:rPr>
        <w:t>日，</w:t>
      </w:r>
      <w:r>
        <w:rPr>
          <w:rFonts w:hint="eastAsia" w:ascii="仿宋_GB2312" w:hAnsi="Times New Roman" w:eastAsia="仿宋_GB2312" w:cs="Times New Roman"/>
          <w:color w:val="auto"/>
          <w:sz w:val="32"/>
          <w:szCs w:val="32"/>
          <w:lang w:val="en-US" w:eastAsia="zh-CN"/>
        </w:rPr>
        <w:t>被申请人</w:t>
      </w:r>
      <w:r>
        <w:rPr>
          <w:rFonts w:hint="eastAsia" w:ascii="仿宋_GB2312" w:eastAsia="仿宋_GB2312" w:cs="Times New Roman"/>
          <w:color w:val="auto"/>
          <w:sz w:val="32"/>
          <w:szCs w:val="32"/>
          <w:lang w:val="en-US" w:eastAsia="zh-CN"/>
        </w:rPr>
        <w:t>向申请人发送短信，关于投诉处理，告知申请人“经协商，商家表示拒绝调解，依据《</w:t>
      </w:r>
      <w:r>
        <w:rPr>
          <w:rFonts w:hint="eastAsia" w:ascii="仿宋_GB2312" w:hAnsi="Calibri" w:eastAsia="仿宋_GB2312" w:cs="仿宋_GB2312"/>
          <w:color w:val="auto"/>
          <w:sz w:val="32"/>
          <w:szCs w:val="32"/>
          <w:lang w:val="en-US" w:eastAsia="zh-CN" w:bidi="ar"/>
        </w:rPr>
        <w:t>市场监督管理投诉举报处理暂行办法</w:t>
      </w:r>
      <w:r>
        <w:rPr>
          <w:rFonts w:hint="eastAsia" w:ascii="仿宋_GB2312" w:eastAsia="仿宋_GB2312" w:cs="Times New Roman"/>
          <w:color w:val="auto"/>
          <w:sz w:val="32"/>
          <w:szCs w:val="32"/>
          <w:lang w:val="en-US" w:eastAsia="zh-CN"/>
        </w:rPr>
        <w:t>》第二十一条的规定，我局决定终止调解”。申请人不服该终止调解决定，向本机关申请行政复议，本机关于2024年2月29日收到申请材料，并于2024年3月7日受理。申请人向本机关提出的行政复议申请主张被申请人未按照</w:t>
      </w:r>
      <w:r>
        <w:rPr>
          <w:rFonts w:hint="eastAsia" w:ascii="仿宋_GB2312" w:hAnsi="Calibri" w:eastAsia="仿宋_GB2312" w:cs="仿宋_GB2312"/>
          <w:color w:val="auto"/>
          <w:sz w:val="32"/>
          <w:szCs w:val="32"/>
          <w:lang w:val="en-US" w:eastAsia="zh-CN" w:bidi="ar"/>
        </w:rPr>
        <w:t>《市场监督管理投诉举报处理暂行办法》第十四条的规定告知投诉是否受理的决定，存在程序违法，请求：1.撤销被申请人对投诉事项作出的处理结果；2.责令被申请人限期内对申请人的投诉事项重新作出处理。</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hAnsi="Calibri" w:eastAsia="仿宋_GB2312" w:cs="仿宋_GB2312"/>
          <w:color w:val="auto"/>
          <w:sz w:val="32"/>
          <w:szCs w:val="32"/>
          <w:lang w:val="en-US" w:eastAsia="zh-CN" w:bidi="ar"/>
        </w:rPr>
      </w:pPr>
      <w:r>
        <w:rPr>
          <w:rFonts w:hint="eastAsia" w:eastAsia="黑体"/>
          <w:color w:val="auto"/>
          <w:sz w:val="32"/>
        </w:rPr>
        <w:t>本机关认为：</w:t>
      </w:r>
      <w:r>
        <w:rPr>
          <w:rFonts w:hint="eastAsia" w:ascii="仿宋_GB2312" w:hAnsi="Calibri" w:eastAsia="仿宋_GB2312" w:cs="仿宋_GB2312"/>
          <w:color w:val="auto"/>
          <w:sz w:val="32"/>
          <w:szCs w:val="32"/>
          <w:lang w:val="en-US" w:eastAsia="zh-CN" w:bidi="ar"/>
        </w:rPr>
        <w:t>《市场监督管理投诉举报处理暂行办法》第十六条第一款规定：“ 市场监督管理部门经投诉人和被投诉人同意，采用调解的方式处理投诉，但法律、法规另有规定的，依照其规定。”第二十一条第一款第三项规定：“有下列情形之一的，终止调解</w:t>
      </w:r>
      <w:bookmarkStart w:id="0" w:name="tiao_21_kuan_1_xiang_1"/>
      <w:bookmarkEnd w:id="0"/>
      <w:bookmarkStart w:id="1" w:name="tiao_21_kuan_1_xiang_3"/>
      <w:bookmarkEnd w:id="1"/>
      <w:r>
        <w:rPr>
          <w:rFonts w:hint="eastAsia" w:ascii="仿宋_GB2312" w:hAnsi="Calibri" w:eastAsia="仿宋_GB2312" w:cs="仿宋_GB2312"/>
          <w:color w:val="auto"/>
          <w:sz w:val="32"/>
          <w:szCs w:val="32"/>
          <w:lang w:val="en-US" w:eastAsia="zh-CN" w:bidi="ar"/>
        </w:rPr>
        <w:t>……（三）投诉人或者被投诉人无正当理由不参加调解，或者被投诉人明确拒绝调解的……”根据上述规定，被申请人对于投诉依法履行组织调解的职责。本案根据被申请人提交的证据可以证明，被申请人受理申请人投诉后，依法组织调解，在被投诉人明确表示拒绝调解的情况下，决定终止调解，符合上述规章规定，并无违法或不当。至于申请人主张被申请人未告知投诉受理决定，本机关认为，消费纠纷调解以各方自愿为前提，一方拒绝调解而依法终止调解，对各方当事人权利义务不产生实际影响，各方当事人仍可通过民事途径依</w:t>
      </w:r>
      <w:bookmarkStart w:id="2" w:name="_GoBack"/>
      <w:bookmarkEnd w:id="2"/>
      <w:r>
        <w:rPr>
          <w:rFonts w:hint="eastAsia" w:ascii="仿宋_GB2312" w:hAnsi="Calibri" w:eastAsia="仿宋_GB2312" w:cs="仿宋_GB2312"/>
          <w:color w:val="auto"/>
          <w:sz w:val="32"/>
          <w:szCs w:val="32"/>
          <w:lang w:val="en-US" w:eastAsia="zh-CN" w:bidi="ar"/>
        </w:rPr>
        <w:t>法解决消费者权益纠纷，对于申请人的投诉，被申请人依法受理投诉并组织调解已履行法定职责，是否告知投诉受理决定更不会影响申请人的权益，故本机关仅对被申请人未告知投诉受理决定予以指正。</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综上，</w:t>
      </w:r>
      <w:r>
        <w:rPr>
          <w:rFonts w:hint="eastAsia" w:ascii="仿宋_GB2312" w:eastAsia="仿宋_GB2312"/>
          <w:color w:val="auto"/>
          <w:sz w:val="32"/>
          <w:szCs w:val="32"/>
          <w:lang w:eastAsia="zh-CN"/>
        </w:rPr>
        <w:t>依照</w:t>
      </w:r>
      <w:r>
        <w:rPr>
          <w:rFonts w:hint="eastAsia" w:ascii="仿宋_GB2312" w:eastAsia="仿宋_GB2312"/>
          <w:color w:val="auto"/>
          <w:sz w:val="32"/>
          <w:szCs w:val="32"/>
        </w:rPr>
        <w:t>《中华人民共和国行政复议法》第</w:t>
      </w:r>
      <w:r>
        <w:rPr>
          <w:rFonts w:hint="eastAsia" w:ascii="仿宋_GB2312" w:eastAsia="仿宋_GB2312"/>
          <w:color w:val="auto"/>
          <w:sz w:val="32"/>
          <w:szCs w:val="32"/>
          <w:lang w:eastAsia="zh-CN"/>
        </w:rPr>
        <w:t>六</w:t>
      </w:r>
      <w:r>
        <w:rPr>
          <w:rFonts w:hint="eastAsia" w:ascii="仿宋_GB2312" w:eastAsia="仿宋_GB2312"/>
          <w:color w:val="auto"/>
          <w:sz w:val="32"/>
          <w:szCs w:val="32"/>
        </w:rPr>
        <w:t>十八条之规定，本机关作出复议决定如下：</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olor w:val="auto"/>
          <w:sz w:val="32"/>
          <w:lang w:val="en-US" w:eastAsia="zh-CN"/>
        </w:rPr>
      </w:pPr>
      <w:r>
        <w:rPr>
          <w:rFonts w:hint="eastAsia" w:ascii="仿宋_GB2312" w:eastAsia="仿宋_GB2312"/>
          <w:color w:val="auto"/>
          <w:sz w:val="32"/>
          <w:szCs w:val="32"/>
        </w:rPr>
        <w:t>维持</w:t>
      </w:r>
      <w:r>
        <w:rPr>
          <w:rFonts w:hint="eastAsia" w:ascii="仿宋_GB2312" w:hAnsi="仿宋_GB2312" w:eastAsia="仿宋_GB2312"/>
          <w:color w:val="auto"/>
          <w:sz w:val="32"/>
          <w:lang w:val="en-US" w:eastAsia="zh-CN"/>
        </w:rPr>
        <w:t>被申请人深圳市市场监督管理局龙华监管局对申请人龚某关于深圳市××酒业有限公司的投诉作出的终止调解决定。</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ascii="仿宋_GB2312" w:hAnsi="仿宋_GB2312" w:eastAsia="仿宋_GB2312"/>
          <w:color w:val="auto"/>
          <w:sz w:val="32"/>
        </w:rPr>
      </w:pPr>
      <w:r>
        <w:rPr>
          <w:rFonts w:hint="eastAsia" w:ascii="仿宋_GB2312" w:hAnsi="仿宋_GB2312" w:eastAsia="仿宋_GB2312"/>
          <w:color w:val="auto"/>
          <w:sz w:val="32"/>
        </w:rPr>
        <w:t>本复议决定书一经送达，即发生法律效力。申请人如对本复议决定不服，</w:t>
      </w:r>
      <w:r>
        <w:rPr>
          <w:rFonts w:ascii="仿宋_GB2312" w:hAnsi="仿宋_GB2312" w:eastAsia="仿宋_GB2312"/>
          <w:color w:val="auto"/>
          <w:sz w:val="32"/>
        </w:rPr>
        <w:t>可自收到复议决定书之日起十五日内</w:t>
      </w:r>
      <w:r>
        <w:rPr>
          <w:rFonts w:hint="eastAsia" w:ascii="仿宋_GB2312" w:hAnsi="仿宋_GB2312" w:eastAsia="仿宋_GB2312"/>
          <w:color w:val="auto"/>
          <w:sz w:val="32"/>
          <w:lang w:eastAsia="zh-CN"/>
        </w:rPr>
        <w:t>依法</w:t>
      </w:r>
      <w:r>
        <w:rPr>
          <w:rFonts w:ascii="仿宋_GB2312" w:hAnsi="仿宋_GB2312" w:eastAsia="仿宋_GB2312"/>
          <w:color w:val="auto"/>
          <w:sz w:val="32"/>
        </w:rPr>
        <w:t>向有管辖权的人民法院提起诉讼</w:t>
      </w:r>
      <w:r>
        <w:rPr>
          <w:rFonts w:hint="eastAsia" w:ascii="仿宋_GB2312" w:hAnsi="仿宋_GB2312" w:eastAsia="仿宋_GB2312"/>
          <w:color w:val="auto"/>
          <w:sz w:val="32"/>
        </w:rPr>
        <w:t>。</w:t>
      </w:r>
    </w:p>
    <w:p>
      <w:pPr>
        <w:keepNext w:val="0"/>
        <w:keepLines w:val="0"/>
        <w:pageBreakBefore w:val="0"/>
        <w:widowControl w:val="0"/>
        <w:kinsoku/>
        <w:overflowPunct/>
        <w:topLinePunct w:val="0"/>
        <w:autoSpaceDE/>
        <w:autoSpaceDN/>
        <w:bidi w:val="0"/>
        <w:adjustRightInd/>
        <w:snapToGrid/>
        <w:spacing w:line="580" w:lineRule="exact"/>
        <w:textAlignment w:val="auto"/>
        <w:rPr>
          <w:rFonts w:ascii="仿宋_GB2312" w:hAnsi="仿宋_GB2312" w:eastAsia="仿宋_GB2312"/>
          <w:color w:val="auto"/>
          <w:sz w:val="32"/>
        </w:rPr>
      </w:pPr>
    </w:p>
    <w:p>
      <w:pPr>
        <w:keepNext w:val="0"/>
        <w:keepLines w:val="0"/>
        <w:pageBreakBefore w:val="0"/>
        <w:widowControl w:val="0"/>
        <w:kinsoku/>
        <w:overflowPunct/>
        <w:topLinePunct w:val="0"/>
        <w:autoSpaceDE/>
        <w:autoSpaceDN/>
        <w:bidi w:val="0"/>
        <w:adjustRightInd/>
        <w:snapToGrid/>
        <w:spacing w:line="580" w:lineRule="exact"/>
        <w:ind w:firstLine="5440" w:firstLineChars="1700"/>
        <w:textAlignment w:val="auto"/>
        <w:rPr>
          <w:rFonts w:ascii="仿宋_GB2312" w:hAnsi="仿宋_GB2312" w:eastAsia="仿宋_GB2312"/>
          <w:color w:val="auto"/>
          <w:sz w:val="32"/>
        </w:rPr>
      </w:pPr>
      <w:r>
        <w:rPr>
          <w:rFonts w:hint="eastAsia" w:ascii="仿宋_GB2312" w:hAnsi="仿宋_GB2312" w:eastAsia="仿宋_GB2312"/>
          <w:color w:val="auto"/>
          <w:sz w:val="32"/>
        </w:rPr>
        <w:t>深圳市人民政府</w:t>
      </w:r>
    </w:p>
    <w:p>
      <w:pPr>
        <w:keepNext w:val="0"/>
        <w:keepLines w:val="0"/>
        <w:pageBreakBefore w:val="0"/>
        <w:widowControl w:val="0"/>
        <w:kinsoku/>
        <w:overflowPunct/>
        <w:topLinePunct w:val="0"/>
        <w:autoSpaceDE/>
        <w:autoSpaceDN/>
        <w:bidi w:val="0"/>
        <w:adjustRightInd/>
        <w:snapToGrid/>
        <w:spacing w:line="580" w:lineRule="exact"/>
        <w:ind w:left="0" w:leftChars="0" w:firstLine="5459" w:firstLineChars="1706"/>
        <w:textAlignment w:val="auto"/>
        <w:rPr>
          <w:rFonts w:hint="default" w:eastAsia="宋体"/>
          <w:lang w:val="en-US" w:eastAsia="zh-CN"/>
        </w:rPr>
      </w:pPr>
      <w:r>
        <w:rPr>
          <w:rFonts w:hint="eastAsia" w:ascii="仿宋_GB2312" w:hAnsi="仿宋_GB2312" w:eastAsia="仿宋_GB2312"/>
          <w:color w:val="auto"/>
          <w:sz w:val="32"/>
        </w:rPr>
        <w:t>202</w:t>
      </w:r>
      <w:r>
        <w:rPr>
          <w:rFonts w:hint="eastAsia" w:ascii="仿宋_GB2312" w:hAnsi="仿宋_GB2312" w:eastAsia="仿宋_GB2312"/>
          <w:color w:val="auto"/>
          <w:sz w:val="32"/>
          <w:lang w:val="en-US" w:eastAsia="zh-CN"/>
        </w:rPr>
        <w:t>4</w:t>
      </w:r>
      <w:r>
        <w:rPr>
          <w:rFonts w:hint="eastAsia" w:ascii="仿宋_GB2312" w:hAnsi="仿宋_GB2312" w:eastAsia="仿宋_GB2312"/>
          <w:color w:val="auto"/>
          <w:sz w:val="32"/>
        </w:rPr>
        <w:t>年</w:t>
      </w:r>
      <w:r>
        <w:rPr>
          <w:rFonts w:hint="default" w:ascii="仿宋_GB2312" w:hAnsi="仿宋_GB2312" w:eastAsia="仿宋_GB2312"/>
          <w:color w:val="auto"/>
          <w:sz w:val="32"/>
          <w:lang w:val="en"/>
        </w:rPr>
        <w:t>4</w:t>
      </w:r>
      <w:r>
        <w:rPr>
          <w:rFonts w:hint="eastAsia" w:ascii="仿宋_GB2312" w:hAnsi="仿宋_GB2312" w:eastAsia="仿宋_GB2312"/>
          <w:color w:val="auto"/>
          <w:sz w:val="32"/>
        </w:rPr>
        <w:t>月</w:t>
      </w:r>
      <w:r>
        <w:rPr>
          <w:rFonts w:hint="default" w:ascii="仿宋_GB2312" w:hAnsi="仿宋_GB2312" w:eastAsia="仿宋_GB2312"/>
          <w:color w:val="auto"/>
          <w:sz w:val="32"/>
          <w:lang w:val="en"/>
        </w:rPr>
        <w:t>28</w:t>
      </w:r>
      <w:r>
        <w:rPr>
          <w:rFonts w:hint="eastAsia" w:ascii="仿宋_GB2312" w:hAnsi="仿宋_GB2312" w:eastAsia="仿宋_GB2312"/>
          <w:color w:val="auto"/>
          <w:sz w:val="32"/>
        </w:rPr>
        <w:t>日</w:t>
      </w:r>
      <w:r>
        <w:rPr>
          <w:rFonts w:hint="eastAsia"/>
          <w:lang w:val="en-US" w:eastAsia="zh-CN"/>
        </w:rPr>
        <w:t xml:space="preserve">                                                                                                                                                                                                                                                                                                                                                                                                                                                                                                                                                                                                                                                                                                                                                                                                                                                             </w:t>
      </w:r>
    </w:p>
    <w:sectPr>
      <w:footerReference r:id="rId3" w:type="default"/>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auto"/>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1MmQzYTA0YzZiYjYwZTc2NjFiM2FkOGQ1MThhZGYifQ=="/>
  </w:docVars>
  <w:rsids>
    <w:rsidRoot w:val="77692317"/>
    <w:rsid w:val="3FEF6672"/>
    <w:rsid w:val="46500A69"/>
    <w:rsid w:val="4E7EE840"/>
    <w:rsid w:val="58FF3978"/>
    <w:rsid w:val="5BDF76E2"/>
    <w:rsid w:val="5DB6CB95"/>
    <w:rsid w:val="5DFA17C2"/>
    <w:rsid w:val="631BA815"/>
    <w:rsid w:val="67F72420"/>
    <w:rsid w:val="70DFCA88"/>
    <w:rsid w:val="75E8BDDB"/>
    <w:rsid w:val="77692317"/>
    <w:rsid w:val="77AE126B"/>
    <w:rsid w:val="77BEC08B"/>
    <w:rsid w:val="7BFBA7BF"/>
    <w:rsid w:val="7CD54807"/>
    <w:rsid w:val="7D7E341C"/>
    <w:rsid w:val="7ECF9031"/>
    <w:rsid w:val="7FBC64CD"/>
    <w:rsid w:val="8DDFADE0"/>
    <w:rsid w:val="9E3E036C"/>
    <w:rsid w:val="BB5D7187"/>
    <w:rsid w:val="BF7ECEDA"/>
    <w:rsid w:val="BFF4B6CC"/>
    <w:rsid w:val="C57A36A1"/>
    <w:rsid w:val="C7EB300C"/>
    <w:rsid w:val="CDFD308E"/>
    <w:rsid w:val="D5E6E8A9"/>
    <w:rsid w:val="E7BF8F02"/>
    <w:rsid w:val="E7CEB48A"/>
    <w:rsid w:val="E7F3DED0"/>
    <w:rsid w:val="EABC700B"/>
    <w:rsid w:val="FB270AED"/>
    <w:rsid w:val="FE63725B"/>
    <w:rsid w:val="FFCF1141"/>
    <w:rsid w:val="FFD70E16"/>
    <w:rsid w:val="FFEF1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1"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1"/>
    <w:pPr>
      <w:tabs>
        <w:tab w:val="center" w:pos="4153"/>
        <w:tab w:val="right" w:pos="8306"/>
      </w:tabs>
      <w:snapToGrid w:val="0"/>
      <w:jc w:val="left"/>
    </w:pPr>
    <w:rPr>
      <w:sz w:val="18"/>
    </w:rPr>
  </w:style>
  <w:style w:type="character" w:customStyle="1" w:styleId="5">
    <w:name w:val="列表2"/>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2024-04-25T12:31:00Z</dcterms:created>
  <dc:creator>张文静</dc:creator>
  <cp:lastModifiedBy>kylin</cp:lastModifiedBy>
  <dcterms:modified xsi:type="dcterms:W3CDTF">2024-09-05T09:56:24Z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D51772A437434B06A5C6213FFCCA0160_11</vt:lpwstr>
  </property>
</Properties>
</file>