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43104">
      <w:pPr>
        <w:pStyle w:val="8"/>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auto"/>
        <w:rPr>
          <w:rStyle w:val="7"/>
          <w:rFonts w:hint="eastAsia" w:ascii="黑体" w:hAnsi="黑体" w:eastAsia="黑体" w:cs="黑体"/>
          <w:sz w:val="32"/>
          <w:szCs w:val="32"/>
          <w:lang w:val="en-US" w:eastAsia="zh-CN"/>
        </w:rPr>
      </w:pPr>
      <w:r>
        <w:rPr>
          <w:rStyle w:val="7"/>
          <w:rFonts w:hint="eastAsia" w:ascii="黑体" w:hAnsi="黑体" w:eastAsia="黑体" w:cs="黑体"/>
          <w:sz w:val="32"/>
          <w:szCs w:val="32"/>
          <w:lang w:val="en-US" w:eastAsia="zh-CN"/>
        </w:rPr>
        <w:t>附件1</w:t>
      </w:r>
    </w:p>
    <w:p w14:paraId="4704D3E5">
      <w:pPr>
        <w:pStyle w:val="8"/>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Style w:val="7"/>
          <w:rFonts w:hint="eastAsia" w:ascii="方正小标宋简体" w:hAnsi="方正小标宋简体" w:eastAsia="方正小标宋简体" w:cs="方正小标宋简体"/>
          <w:sz w:val="44"/>
          <w:szCs w:val="44"/>
          <w:lang w:val="en-US" w:eastAsia="zh-CN"/>
        </w:rPr>
      </w:pPr>
    </w:p>
    <w:p w14:paraId="260B5517">
      <w:pPr>
        <w:pStyle w:val="8"/>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Style w:val="7"/>
          <w:rFonts w:hint="eastAsia" w:ascii="方正小标宋简体" w:hAnsi="方正小标宋简体" w:eastAsia="方正小标宋简体" w:cs="方正小标宋简体"/>
          <w:sz w:val="44"/>
          <w:szCs w:val="44"/>
          <w:lang w:val="en-US" w:eastAsia="zh-CN"/>
        </w:rPr>
      </w:pPr>
      <w:bookmarkStart w:id="0" w:name="_GoBack"/>
      <w:r>
        <w:rPr>
          <w:rStyle w:val="7"/>
          <w:rFonts w:hint="eastAsia" w:ascii="方正小标宋简体" w:hAnsi="方正小标宋简体" w:eastAsia="方正小标宋简体" w:cs="方正小标宋简体"/>
          <w:sz w:val="44"/>
          <w:szCs w:val="44"/>
          <w:lang w:val="en-US" w:eastAsia="zh-CN"/>
        </w:rPr>
        <w:t>《深圳市生活垃圾分类管理条例》</w:t>
      </w:r>
    </w:p>
    <w:bookmarkEnd w:id="0"/>
    <w:p w14:paraId="1E99A7BE">
      <w:pPr>
        <w:pStyle w:val="8"/>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Style w:val="7"/>
          <w:rFonts w:hint="eastAsia" w:ascii="楷体_GB2312" w:hAnsi="楷体_GB2312" w:eastAsia="楷体_GB2312" w:cs="楷体_GB2312"/>
          <w:sz w:val="32"/>
          <w:szCs w:val="32"/>
          <w:lang w:val="en-US" w:eastAsia="zh-CN"/>
        </w:rPr>
      </w:pPr>
      <w:r>
        <w:rPr>
          <w:rStyle w:val="7"/>
          <w:rFonts w:hint="eastAsia" w:ascii="楷体_GB2312" w:hAnsi="楷体_GB2312" w:eastAsia="楷体_GB2312" w:cs="楷体_GB2312"/>
          <w:sz w:val="32"/>
          <w:szCs w:val="32"/>
          <w:lang w:val="en-US" w:eastAsia="zh-CN"/>
        </w:rPr>
        <w:t>（修正草案征求意见稿）</w:t>
      </w:r>
    </w:p>
    <w:p w14:paraId="4FC75CFF">
      <w:pPr>
        <w:pStyle w:val="3"/>
        <w:keepNext w:val="0"/>
        <w:keepLines w:val="0"/>
        <w:pageBreakBefore w:val="0"/>
        <w:wordWrap/>
        <w:overflowPunct/>
        <w:topLinePunct w:val="0"/>
        <w:bidi w:val="0"/>
        <w:spacing w:line="578" w:lineRule="exact"/>
        <w:jc w:val="both"/>
        <w:rPr>
          <w:rFonts w:hint="eastAsia" w:ascii="仿宋_GB2312" w:hAnsi="仿宋_GB2312" w:eastAsia="仿宋_GB2312" w:cs="仿宋_GB2312"/>
          <w:lang w:val="en-US" w:eastAsia="zh-CN"/>
        </w:rPr>
      </w:pPr>
    </w:p>
    <w:p w14:paraId="12CD6E8F">
      <w:pPr>
        <w:pStyle w:val="8"/>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Style w:val="7"/>
          <w:rFonts w:hint="eastAsia" w:ascii="仿宋_GB2312" w:hAnsi="仿宋_GB2312" w:eastAsia="仿宋_GB2312" w:cs="仿宋_GB2312"/>
          <w:color w:val="auto"/>
          <w:kern w:val="0"/>
          <w:sz w:val="32"/>
          <w:szCs w:val="32"/>
          <w:u w:val="none"/>
          <w:lang w:val="en-US" w:eastAsia="zh-CN" w:bidi="ar-SA"/>
        </w:rPr>
      </w:pPr>
      <w:r>
        <w:rPr>
          <w:rStyle w:val="7"/>
          <w:rFonts w:hint="eastAsia" w:ascii="仿宋_GB2312" w:hAnsi="仿宋_GB2312" w:eastAsia="仿宋_GB2312" w:cs="仿宋_GB2312"/>
          <w:color w:val="auto"/>
          <w:kern w:val="0"/>
          <w:sz w:val="32"/>
          <w:szCs w:val="32"/>
          <w:u w:val="none"/>
          <w:lang w:val="en-US" w:eastAsia="zh-CN" w:bidi="ar-SA"/>
        </w:rPr>
        <w:t>一、将第三条第二款修改为：“法律、法规、规章对房屋装饰装修产生的建筑垃圾另有规定的，从其规定。”</w:t>
      </w:r>
    </w:p>
    <w:p w14:paraId="35857D28">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Style w:val="7"/>
          <w:rFonts w:hint="eastAsia" w:ascii="仿宋_GB2312" w:hAnsi="仿宋_GB2312" w:eastAsia="仿宋_GB2312" w:cs="仿宋_GB2312"/>
          <w:color w:val="auto"/>
          <w:kern w:val="0"/>
          <w:sz w:val="32"/>
          <w:szCs w:val="32"/>
          <w:u w:val="none"/>
          <w:lang w:val="en-US" w:eastAsia="zh-CN" w:bidi="ar-SA"/>
        </w:rPr>
      </w:pPr>
      <w:r>
        <w:rPr>
          <w:rStyle w:val="7"/>
          <w:rFonts w:hint="eastAsia" w:ascii="仿宋_GB2312" w:hAnsi="仿宋_GB2312" w:eastAsia="仿宋_GB2312" w:cs="仿宋_GB2312"/>
          <w:color w:val="auto"/>
          <w:kern w:val="0"/>
          <w:sz w:val="32"/>
          <w:szCs w:val="32"/>
          <w:u w:val="none"/>
          <w:lang w:val="en-US" w:eastAsia="zh-CN" w:bidi="ar-SA"/>
        </w:rPr>
        <w:t>二、将第十七条第一款第二项、第三项合并，修改为：“（二）家庭厨余垃圾和餐厨垃圾应当投放至专用收集容器；”</w:t>
      </w:r>
    </w:p>
    <w:p w14:paraId="589A08E5">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Style w:val="7"/>
          <w:rFonts w:hint="eastAsia" w:ascii="仿宋_GB2312" w:hAnsi="仿宋_GB2312" w:eastAsia="仿宋_GB2312" w:cs="仿宋_GB2312"/>
          <w:color w:val="auto"/>
          <w:kern w:val="0"/>
          <w:sz w:val="32"/>
          <w:szCs w:val="32"/>
          <w:u w:val="none"/>
          <w:lang w:val="en-US" w:eastAsia="zh-CN" w:bidi="ar-SA"/>
        </w:rPr>
      </w:pPr>
      <w:r>
        <w:rPr>
          <w:rStyle w:val="7"/>
          <w:rFonts w:hint="eastAsia" w:ascii="仿宋_GB2312" w:hAnsi="仿宋_GB2312" w:eastAsia="仿宋_GB2312" w:cs="仿宋_GB2312"/>
          <w:color w:val="auto"/>
          <w:kern w:val="0"/>
          <w:sz w:val="32"/>
          <w:szCs w:val="32"/>
          <w:u w:val="none"/>
          <w:lang w:val="en-US" w:eastAsia="zh-CN" w:bidi="ar-SA"/>
        </w:rPr>
        <w:t>三、删去第十八条。</w:t>
      </w:r>
    </w:p>
    <w:p w14:paraId="2FD641C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四、将第二十条第一款第一项修改为：“（一）按照生活垃圾分类设施设备配置规范配置分类收集容器，设置分类投放点、生活垃圾暂存点，做好收集容器、分类投放点和生活垃圾暂存点的日常维护、更新等工作，并保持完好、整洁；”</w:t>
      </w:r>
    </w:p>
    <w:p w14:paraId="263B66A1">
      <w:pPr>
        <w:keepNext w:val="0"/>
        <w:keepLines w:val="0"/>
        <w:pageBreakBefore w:val="0"/>
        <w:widowControl w:val="0"/>
        <w:kinsoku/>
        <w:wordWrap/>
        <w:overflowPunct/>
        <w:topLinePunct w:val="0"/>
        <w:bidi w:val="0"/>
        <w:spacing w:beforeAutospacing="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五、将第二十三条修改为：“住宅区居住楼层公共区域不得设置生活垃圾收集容器；其他公共区域（含地下公共空间）可以设置符合生活垃圾分类设施设备配置规范的收集容器。”</w:t>
      </w:r>
    </w:p>
    <w:p w14:paraId="19A615B1">
      <w:pPr>
        <w:keepNext w:val="0"/>
        <w:keepLines w:val="0"/>
        <w:pageBreakBefore w:val="0"/>
        <w:widowControl w:val="0"/>
        <w:kinsoku/>
        <w:wordWrap/>
        <w:overflowPunct/>
        <w:topLinePunct w:val="0"/>
        <w:bidi w:val="0"/>
        <w:spacing w:beforeAutospacing="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六、将第二十八条第二款修改为：“厨余垃圾和其他垃圾应当每日定时收集、运输。”</w:t>
      </w:r>
    </w:p>
    <w:p w14:paraId="5B4ED6FA">
      <w:pPr>
        <w:keepNext w:val="0"/>
        <w:keepLines w:val="0"/>
        <w:pageBreakBefore w:val="0"/>
        <w:widowControl w:val="0"/>
        <w:kinsoku/>
        <w:wordWrap/>
        <w:overflowPunct/>
        <w:topLinePunct w:val="0"/>
        <w:bidi w:val="0"/>
        <w:spacing w:beforeAutospacing="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七、将第二十九条修改为：“市、区主管部门应当督促生活垃圾收集、运输单位规范、合理安排生活垃圾收集、运输作业，并会同相关部门合理安排生活垃圾运输车辆的作业时间和路线，避免噪声扰民和交通拥堵。”</w:t>
      </w:r>
    </w:p>
    <w:p w14:paraId="282B869C">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八、将第三十二条、第三十三条合并，修改为：“市、区商务部门应当公示再生资源回收网点信息，会同市、区主管部门推动生活垃圾分类网点与再生资源回收网点衔接融合。</w:t>
      </w:r>
    </w:p>
    <w:p w14:paraId="323AE2D8">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市商务部门应当会同市主管部门编制可回收物回收指导目录，促进低价值可回收物的回收利用。</w:t>
      </w:r>
    </w:p>
    <w:p w14:paraId="74F245BB">
      <w:pPr>
        <w:keepNext w:val="0"/>
        <w:keepLines w:val="0"/>
        <w:pageBreakBefore w:val="0"/>
        <w:wordWrap/>
        <w:overflowPunct/>
        <w:topLinePunct w:val="0"/>
        <w:bidi w:val="0"/>
        <w:spacing w:line="578" w:lineRule="exact"/>
        <w:ind w:firstLine="640" w:firstLineChars="200"/>
        <w:jc w:val="both"/>
        <w:rPr>
          <w:rStyle w:val="7"/>
          <w:rFonts w:hint="eastAsia" w:ascii="仿宋_GB2312" w:hAnsi="仿宋_GB2312" w:eastAsia="仿宋_GB2312" w:cs="仿宋_GB2312"/>
          <w:snapToGrid w:val="0"/>
          <w:color w:val="auto"/>
          <w:kern w:val="0"/>
          <w:sz w:val="32"/>
          <w:szCs w:val="32"/>
        </w:rPr>
      </w:pPr>
      <w:r>
        <w:rPr>
          <w:rStyle w:val="7"/>
          <w:rFonts w:hint="eastAsia" w:ascii="仿宋_GB2312" w:hAnsi="仿宋_GB2312" w:eastAsia="仿宋_GB2312" w:cs="仿宋_GB2312"/>
          <w:snapToGrid w:val="0"/>
          <w:color w:val="auto"/>
          <w:kern w:val="0"/>
          <w:sz w:val="32"/>
          <w:szCs w:val="32"/>
        </w:rPr>
        <w:t>市、区商务部门应当通过生活垃圾分类管理信息平台向市民提供预约回收服务以及可回收物目录、回收方式等信息。</w:t>
      </w:r>
    </w:p>
    <w:p w14:paraId="22432D22">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鼓励再生资源回收单位在住宅区、商场、超市、便利店、公园等设置智能回收设施或者便民回收点，提高可回收物的回收率。”</w:t>
      </w:r>
    </w:p>
    <w:p w14:paraId="5AC4ED5B">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九、删去第三十四条。</w:t>
      </w:r>
    </w:p>
    <w:p w14:paraId="6A7FD61B">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十、将第三十五条第一款修改为：“餐厨垃圾应当全量交由餐厨垃圾特许经营企业收集、运输、处理。”</w:t>
      </w:r>
    </w:p>
    <w:p w14:paraId="704E5A66">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同时新增两款内容，分别作为第三款、第四款：“餐厨垃圾处理单位应当采用技术手段确保废弃食用油脂不可回流至食品加工领域。</w:t>
      </w:r>
    </w:p>
    <w:p w14:paraId="14AA5B6B">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鼓励餐厨垃圾处理单位将废弃食用油脂用于生产生物柴油、生物航空燃油等清洁能源产品，实现规模化、集约化经营。”</w:t>
      </w:r>
    </w:p>
    <w:p w14:paraId="1086F050">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十一、将第三十九条第一款第五项修改为：“（五）按照规定向社会公开污染物排放种类、排放浓度和排放量，以及污染防治设施的建设运行情况等；”</w:t>
      </w:r>
    </w:p>
    <w:p w14:paraId="0EA9FAA6">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十二、将第四十二条第三款修改为：“公共绿地、公益林的绿化种植或者土壤改良应当优先使用绿化垃圾、厨余垃圾资源化利用产品。”</w:t>
      </w:r>
    </w:p>
    <w:p w14:paraId="2B436594">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将第四款修改为：“乡村振兴部门应当在果蔬生产基地、农产品批发市场、农贸市场、商场、超市等推行净菜上市。”</w:t>
      </w:r>
    </w:p>
    <w:p w14:paraId="2C3885B7">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三、将第四十三条第一款修改为：“生产经营单位对产品的包装应当合理，遵守限制商品过度包装的强制性标准，减少包装性废弃物的产生，不得进行过度包装；对列入国家强制回收目录的产品和包装物按照规定回收。”</w:t>
      </w:r>
    </w:p>
    <w:p w14:paraId="142A5630">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十四、将第四十六条第一款修改为：“餐饮服务和餐饮配送服务提供者应当提示消费者合理消费，适量点餐，‘光盘行动’，不得主动向消费者提供一次性筷子、叉子、汤匙等餐具。”</w:t>
      </w:r>
    </w:p>
    <w:p w14:paraId="4BC9AD95">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十五、将第五十六条修改为：“市、区人民政府建立生活垃圾分类激励机制，完善评估制度，对成绩突出的单位、家庭或者个人按照有关规定给予激励。”</w:t>
      </w:r>
    </w:p>
    <w:p w14:paraId="28887F47">
      <w:pPr>
        <w:pStyle w:val="2"/>
        <w:keepNext w:val="0"/>
        <w:keepLines w:val="0"/>
        <w:pageBreakBefore w:val="0"/>
        <w:widowControl w:val="0"/>
        <w:kinsoku/>
        <w:wordWrap/>
        <w:overflowPunct/>
        <w:topLinePunct w:val="0"/>
        <w:bidi w:val="0"/>
        <w:spacing w:before="0" w:beforeAutospacing="0" w:after="0" w:afterAutospacing="0" w:line="578" w:lineRule="exact"/>
        <w:ind w:firstLine="640" w:firstLineChars="200"/>
        <w:jc w:val="both"/>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六、将第六十六条第一款修改为：“生活垃圾分类投放义务人违反本条例第十七条规定，未按照规定要求投放生活垃圾的，对个人，由区主管部门责令改正，处一百元以上一千元以下罚款，对单位，由区主管部门责令改正；拒不改正的，处五万元以上五十万元以下罚款。”</w:t>
      </w:r>
    </w:p>
    <w:p w14:paraId="5BCDCE2A">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七、将第六十七条第一款第一项修改为：“（一）未按照生活垃圾分类设施设备配置规范配置分类收集容器，设置分类投放点、生活垃圾暂存点，未做好收集容器、分类投放点和生活垃圾暂存点的日常维护、更新等工作，并保持完好、整洁的，责令限期改正，逾期不改正的，处一千元以上一万元以下罚款；”</w:t>
      </w:r>
    </w:p>
    <w:p w14:paraId="3CB38460">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将第一款第三项修改为：“（三）未及时将生活垃圾分类移交给相应的收集、运输单位的，处一千元以上一万元以下罚款；”</w:t>
      </w:r>
    </w:p>
    <w:p w14:paraId="6A19F0B6">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将第一款第四项修改为：“（四）未建立生活垃圾分类投放管理台账，未如实记录生活垃圾种类、数量、去向等情况，或者未按照有关要求向街道办事处报送台账的，责令限期改正，逾期不改正的，处一千元以上一万元以下罚款；”</w:t>
      </w:r>
    </w:p>
    <w:p w14:paraId="712A7CEF">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将第二款修改为：“违反本条例第二十三条规定，在住宅区居住楼层公共区域设置生活垃圾收集容器的；或者在居住楼层外的其他公共区域（含地下公共空间）设置不符合生活垃圾分类设施设备配置规范的收集容器的，处二千元以上一万元以下罚款。”</w:t>
      </w:r>
    </w:p>
    <w:p w14:paraId="78694EB0">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Fonts w:hint="eastAsia" w:ascii="仿宋_GB2312" w:hAnsi="仿宋_GB2312" w:eastAsia="仿宋_GB2312" w:cs="仿宋_GB2312"/>
          <w:lang w:val="en-US" w:eastAsia="zh-CN"/>
        </w:rPr>
      </w:pPr>
      <w:r>
        <w:rPr>
          <w:rStyle w:val="7"/>
          <w:rFonts w:hint="eastAsia" w:ascii="仿宋_GB2312" w:hAnsi="仿宋_GB2312" w:eastAsia="仿宋_GB2312" w:cs="仿宋_GB2312"/>
          <w:b w:val="0"/>
          <w:bCs w:val="0"/>
          <w:color w:val="auto"/>
          <w:kern w:val="0"/>
          <w:sz w:val="32"/>
          <w:szCs w:val="32"/>
          <w:u w:val="none"/>
          <w:lang w:val="en-US" w:eastAsia="zh-CN" w:bidi="ar-SA"/>
        </w:rPr>
        <w:t>删去第三款。</w:t>
      </w:r>
    </w:p>
    <w:p w14:paraId="3C213756">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十八、将第六十九条第一款第四项修改为：“（四）混合收集、运输已分类的生活垃圾的，责令改正，处五万元以上五十万元以下罚款；”</w:t>
      </w:r>
    </w:p>
    <w:p w14:paraId="585FB16C">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十九、将第七十条修改为：“违反本条例第三十五条规定，未将餐厨垃圾全量交由特许经营企业收集、运输、处理的，由区主管部门责令限期改正，并对单位处十万元以上一百万元以下罚款，对个人处一百元以上五百元以下罚款，有违法所得的，没收违法所得；未经许可从事餐厨垃圾收集、运输和处理活动的，由区主管部门责令停止违法行为，处十万元以上一百万元以下罚款，有违法所得的，没收违法所得。”</w:t>
      </w:r>
    </w:p>
    <w:p w14:paraId="2987BC07">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二十、将第七十一条</w:t>
      </w:r>
      <w:r>
        <w:rPr>
          <w:rFonts w:hint="eastAsia" w:ascii="仿宋_GB2312" w:hAnsi="仿宋_GB2312" w:eastAsia="仿宋_GB2312" w:cs="仿宋_GB2312"/>
          <w:b w:val="0"/>
          <w:bCs/>
          <w:sz w:val="32"/>
          <w:szCs w:val="32"/>
          <w:lang w:val="en-US" w:eastAsia="zh-CN"/>
        </w:rPr>
        <w:t>第一款</w:t>
      </w:r>
      <w:r>
        <w:rPr>
          <w:rStyle w:val="7"/>
          <w:rFonts w:hint="eastAsia" w:ascii="仿宋_GB2312" w:hAnsi="仿宋_GB2312" w:eastAsia="仿宋_GB2312" w:cs="仿宋_GB2312"/>
          <w:b w:val="0"/>
          <w:bCs w:val="0"/>
          <w:color w:val="auto"/>
          <w:kern w:val="0"/>
          <w:sz w:val="32"/>
          <w:szCs w:val="32"/>
          <w:u w:val="none"/>
          <w:lang w:val="en-US" w:eastAsia="zh-CN" w:bidi="ar-SA"/>
        </w:rPr>
        <w:t>第五项修改为：“（五）擅自停止处理生活垃圾的，责令改正，没收违法所得，并处十万元以上一百万元以下罚款；”</w:t>
      </w:r>
    </w:p>
    <w:p w14:paraId="3FD9F608">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将</w:t>
      </w:r>
      <w:r>
        <w:rPr>
          <w:rFonts w:hint="eastAsia" w:ascii="仿宋_GB2312" w:hAnsi="仿宋_GB2312" w:eastAsia="仿宋_GB2312" w:cs="仿宋_GB2312"/>
          <w:b w:val="0"/>
          <w:bCs/>
          <w:sz w:val="32"/>
          <w:szCs w:val="32"/>
          <w:lang w:val="en-US" w:eastAsia="zh-CN"/>
        </w:rPr>
        <w:t>第一款</w:t>
      </w:r>
      <w:r>
        <w:rPr>
          <w:rStyle w:val="7"/>
          <w:rFonts w:hint="eastAsia" w:ascii="仿宋_GB2312" w:hAnsi="仿宋_GB2312" w:eastAsia="仿宋_GB2312" w:cs="仿宋_GB2312"/>
          <w:b w:val="0"/>
          <w:bCs w:val="0"/>
          <w:color w:val="auto"/>
          <w:kern w:val="0"/>
          <w:sz w:val="32"/>
          <w:szCs w:val="32"/>
          <w:u w:val="none"/>
          <w:lang w:val="en-US" w:eastAsia="zh-CN" w:bidi="ar-SA"/>
        </w:rPr>
        <w:t>第六项修改为：“（六）未按照规定向社会公开污染物排放种类、排放浓度和排放量，以及污染防治设施的建设运行情况的，责令限期改正，处二万元以上二十万元以下罚款，逾期不改正的，责令限制生产、停产整治，并公告上述生态环境信息；”</w:t>
      </w:r>
    </w:p>
    <w:p w14:paraId="6A50338B">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二十一、将第七十二条修改为：“违反本条例第四十三条第一款规定，生产经营单位未遵守限制商品过度包装的强制性标准的，由市场监管部门和有关部门按照职责分工责令改正；拒不改正的，处二千元以上二万元以下的罚款；情节严重的，处二万元以上十万元以下的罚款。</w:t>
      </w:r>
    </w:p>
    <w:p w14:paraId="58D54C38">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违反本条例第四十五条第一款规定，商品零售经营者免费向消费者提供塑料购物袋的，由市场监管部门责令改正；拒不改正的，处一千元以上一万元以下罚款。</w:t>
      </w:r>
    </w:p>
    <w:p w14:paraId="5BDD8DBC">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违反本条例第四十五条第二款规定，旅馆业经营者主动向消费者提供客房一次性日用品的，由市场监管部门责令限期改正；逾期不改正的，处一千元以上五千元以下罚款。</w:t>
      </w:r>
    </w:p>
    <w:p w14:paraId="03CAFF6B">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违反本条例第四十六条第一款规定，餐饮服务提供者或者餐饮配送服务提供者主动向消费者提供一次性筷子、叉子、汤匙等餐具的，由市场监管部门责令限期改正；逾期不改正的，处一千元以上五千元以下罚款。</w:t>
      </w:r>
    </w:p>
    <w:p w14:paraId="650704C7">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bCs w:val="0"/>
          <w:color w:val="auto"/>
          <w:kern w:val="0"/>
          <w:sz w:val="32"/>
          <w:szCs w:val="32"/>
          <w:u w:val="none"/>
          <w:lang w:val="en-US" w:eastAsia="zh-CN" w:bidi="ar-SA"/>
        </w:rPr>
      </w:pPr>
      <w:r>
        <w:rPr>
          <w:rStyle w:val="7"/>
          <w:rFonts w:hint="eastAsia" w:ascii="仿宋_GB2312" w:hAnsi="仿宋_GB2312" w:eastAsia="仿宋_GB2312" w:cs="仿宋_GB2312"/>
          <w:b w:val="0"/>
          <w:bCs w:val="0"/>
          <w:color w:val="auto"/>
          <w:kern w:val="0"/>
          <w:sz w:val="32"/>
          <w:szCs w:val="32"/>
          <w:u w:val="none"/>
          <w:lang w:val="en-US" w:eastAsia="zh-CN" w:bidi="ar-SA"/>
        </w:rPr>
        <w:t>本条第二、三、四款涉及提供国家禁止、限制使用的一次性塑料制品的，由市场监管部门依照《中华人民共和国生态环境法典》的规定给予处罚。”</w:t>
      </w:r>
    </w:p>
    <w:p w14:paraId="486A8970">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u w:val="none"/>
        </w:rPr>
      </w:pPr>
      <w:r>
        <w:rPr>
          <w:rStyle w:val="7"/>
          <w:rFonts w:hint="eastAsia" w:ascii="仿宋_GB2312" w:hAnsi="仿宋_GB2312" w:eastAsia="仿宋_GB2312" w:cs="仿宋_GB2312"/>
          <w:b w:val="0"/>
          <w:bCs w:val="0"/>
          <w:color w:val="auto"/>
          <w:kern w:val="0"/>
          <w:sz w:val="32"/>
          <w:szCs w:val="32"/>
          <w:u w:val="none"/>
          <w:lang w:val="en-US" w:eastAsia="zh-CN" w:bidi="ar-SA"/>
        </w:rPr>
        <w:t>二十二、将第七十三条修改为：“任何单位和个人弄虚作假，骗取财政资金的，由市、区主管部门追缴所骗取的资金，并按照所骗取资金金额五倍处以罚款；构成犯罪的，依法追究刑事责任。”</w:t>
      </w:r>
    </w:p>
    <w:p w14:paraId="63B5D078">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78" w:lineRule="exact"/>
        <w:ind w:firstLine="640" w:firstLineChars="200"/>
        <w:jc w:val="both"/>
        <w:textAlignment w:val="baseline"/>
        <w:rPr>
          <w:rStyle w:val="7"/>
          <w:rFonts w:hint="eastAsia" w:ascii="仿宋_GB2312" w:hAnsi="仿宋_GB2312" w:eastAsia="仿宋_GB2312" w:cs="仿宋_GB2312"/>
          <w:b w:val="0"/>
          <w:color w:val="auto"/>
          <w:sz w:val="32"/>
          <w:szCs w:val="32"/>
          <w:u w:val="none"/>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Style w:val="7"/>
          <w:rFonts w:hint="eastAsia" w:ascii="仿宋_GB2312" w:hAnsi="仿宋_GB2312" w:eastAsia="仿宋_GB2312" w:cs="仿宋_GB2312"/>
          <w:b w:val="0"/>
          <w:color w:val="auto"/>
          <w:sz w:val="32"/>
          <w:szCs w:val="32"/>
          <w:u w:val="none"/>
        </w:rPr>
        <w:t>《深圳市生活垃圾分类管理条例》根据本修正草案作相应修改，并对条文顺序作相应调整</w:t>
      </w:r>
      <w:r>
        <w:rPr>
          <w:rStyle w:val="7"/>
          <w:rFonts w:hint="eastAsia" w:ascii="仿宋_GB2312" w:hAnsi="仿宋_GB2312" w:eastAsia="仿宋_GB2312" w:cs="仿宋_GB2312"/>
          <w:b w:val="0"/>
          <w:color w:val="auto"/>
          <w:sz w:val="32"/>
          <w:szCs w:val="32"/>
          <w:u w:val="none"/>
          <w:lang w:eastAsia="zh-CN"/>
        </w:rPr>
        <w:t>。</w:t>
      </w:r>
    </w:p>
    <w:p w14:paraId="14524B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A3A1BF3-CC88-4CA2-BA4E-ECBE2DD3D2E1}"/>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E8D8E002-3CC5-4E4E-88D5-5B11219A7CC0}"/>
  </w:font>
  <w:font w:name="楷体_GB2312">
    <w:altName w:val="楷体"/>
    <w:panose1 w:val="02010609030101010101"/>
    <w:charset w:val="86"/>
    <w:family w:val="auto"/>
    <w:pitch w:val="default"/>
    <w:sig w:usb0="00000000" w:usb1="00000000" w:usb2="00000000" w:usb3="00000000" w:csb0="00040000" w:csb1="00000000"/>
    <w:embedRegular r:id="rId3" w:fontKey="{BC1D564A-7AA7-4C61-A8BF-F4B741A004D2}"/>
  </w:font>
  <w:font w:name="仿宋_GB2312">
    <w:panose1 w:val="02010609030101010101"/>
    <w:charset w:val="86"/>
    <w:family w:val="modern"/>
    <w:pitch w:val="default"/>
    <w:sig w:usb0="00000001" w:usb1="080E0000" w:usb2="00000000" w:usb3="00000000" w:csb0="00040000" w:csb1="00000000"/>
    <w:embedRegular r:id="rId4" w:fontKey="{3193A57C-AB8E-4488-B38A-BEFA2383C0A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86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48D4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7C48D4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46558"/>
    <w:rsid w:val="50E4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kinsoku w:val="0"/>
      <w:autoSpaceDE w:val="0"/>
      <w:autoSpaceDN w:val="0"/>
      <w:adjustRightInd w:val="0"/>
      <w:snapToGrid w:val="0"/>
      <w:spacing w:before="100" w:beforeAutospacing="1" w:after="100" w:afterAutospacing="1"/>
      <w:jc w:val="left"/>
      <w:textAlignment w:val="baseline"/>
      <w:outlineLvl w:val="2"/>
    </w:pPr>
    <w:rPr>
      <w:rFonts w:hint="eastAsia" w:ascii="宋体" w:hAnsi="宋体" w:eastAsia="宋体" w:cs="Times New Roman"/>
      <w:b/>
      <w:snapToGrid w:val="0"/>
      <w:color w:val="000000"/>
      <w:kern w:val="0"/>
      <w:sz w:val="27"/>
      <w:szCs w:val="27"/>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560" w:lineRule="atLeast"/>
    </w:pPr>
    <w:rPr>
      <w:rFonts w:ascii="等线" w:hAnsi="等线" w:eastAsia="等线" w:cs="Times New Roman"/>
      <w:szCs w:val="2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_0"/>
    <w:next w:val="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2026-05-22T02:14:00Z</dcterms:created>
  <dc:creator>阿营</dc:creator>
  <cp:lastModifiedBy>阿营</cp:lastModifiedBy>
  <dcterms:modified xsi:type="dcterms:W3CDTF">2026-05-22T02:15:07Z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5FEF3DF23A8A4CE292E4344D599B614C_11</vt:lpwstr>
  </property>
  <property fmtid="{D5CDD505-2E9C-101B-9397-08002B2CF9AE}" pid="4" name="KSOTemplateDocerSaveRecord">
    <vt:lpwstr>eyJoZGlkIjoiOTE5MGUyN2E3NzM2MGExODZlOWY3N2U1NWY5MzA5MTciLCJ1c2VySWQiOiI0MTE2MDgyODUifQ==</vt:lpwstr>
  </property>
</Properties>
</file>