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jc w:val="left"/>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附件</w:t>
      </w:r>
    </w:p>
    <w:p>
      <w:pPr>
        <w:widowControl/>
        <w:shd w:val="clear" w:color="auto" w:fill="FFFFFF"/>
        <w:spacing w:line="480" w:lineRule="atLeast"/>
        <w:ind w:firstLine="0"/>
        <w:jc w:val="left"/>
        <w:rPr>
          <w:rFonts w:ascii="仿宋_GB2312" w:hAnsi="微软雅黑" w:eastAsia="仿宋_GB2312" w:cs="宋体"/>
          <w:color w:val="000000"/>
          <w:kern w:val="0"/>
          <w:sz w:val="32"/>
          <w:szCs w:val="32"/>
        </w:rPr>
      </w:pPr>
    </w:p>
    <w:p>
      <w:pPr>
        <w:spacing w:line="578" w:lineRule="exact"/>
        <w:ind w:firstLine="0"/>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《深圳市个人破产案件管理人名册管理办法（试行）》第二次公开征求意见</w:t>
      </w:r>
    </w:p>
    <w:p>
      <w:pPr>
        <w:spacing w:line="578" w:lineRule="exact"/>
        <w:ind w:firstLine="0"/>
        <w:jc w:val="center"/>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采纳情况表</w:t>
      </w:r>
      <w:bookmarkStart w:id="0" w:name="_GoBack"/>
      <w:bookmarkEnd w:id="0"/>
    </w:p>
    <w:p>
      <w:pPr>
        <w:spacing w:line="578" w:lineRule="exact"/>
        <w:ind w:firstLine="0"/>
        <w:jc w:val="center"/>
        <w:rPr>
          <w:rFonts w:ascii="方正小标宋简体" w:hAnsi="宋体" w:eastAsia="方正小标宋简体" w:cs="宋体"/>
          <w:bCs/>
          <w:sz w:val="44"/>
          <w:szCs w:val="44"/>
        </w:rPr>
      </w:pPr>
    </w:p>
    <w:tbl>
      <w:tblPr>
        <w:tblStyle w:val="10"/>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5261"/>
        <w:gridCol w:w="1417"/>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jc w:val="center"/>
        </w:trPr>
        <w:tc>
          <w:tcPr>
            <w:tcW w:w="993" w:type="dxa"/>
            <w:vAlign w:val="center"/>
          </w:tcPr>
          <w:p>
            <w:pPr>
              <w:ind w:firstLine="0"/>
              <w:jc w:val="center"/>
              <w:rPr>
                <w:rFonts w:ascii="黑体" w:hAnsi="黑体" w:eastAsia="黑体"/>
                <w:b/>
                <w:bCs/>
                <w:sz w:val="24"/>
                <w:szCs w:val="24"/>
              </w:rPr>
            </w:pPr>
            <w:r>
              <w:rPr>
                <w:rFonts w:hint="eastAsia" w:ascii="黑体" w:hAnsi="黑体" w:eastAsia="黑体"/>
                <w:b/>
                <w:bCs/>
                <w:sz w:val="24"/>
                <w:szCs w:val="24"/>
              </w:rPr>
              <w:t>序号</w:t>
            </w:r>
          </w:p>
        </w:tc>
        <w:tc>
          <w:tcPr>
            <w:tcW w:w="5261" w:type="dxa"/>
            <w:vAlign w:val="center"/>
          </w:tcPr>
          <w:p>
            <w:pPr>
              <w:ind w:firstLine="0"/>
              <w:jc w:val="center"/>
              <w:rPr>
                <w:rFonts w:ascii="黑体" w:hAnsi="黑体" w:eastAsia="黑体"/>
                <w:b/>
                <w:bCs/>
                <w:sz w:val="24"/>
                <w:szCs w:val="24"/>
              </w:rPr>
            </w:pPr>
            <w:r>
              <w:rPr>
                <w:rFonts w:hint="eastAsia" w:ascii="黑体" w:hAnsi="黑体" w:eastAsia="黑体"/>
                <w:b/>
                <w:bCs/>
                <w:sz w:val="24"/>
                <w:szCs w:val="24"/>
              </w:rPr>
              <w:t>主要意见和建议</w:t>
            </w:r>
          </w:p>
        </w:tc>
        <w:tc>
          <w:tcPr>
            <w:tcW w:w="1417" w:type="dxa"/>
            <w:vAlign w:val="center"/>
          </w:tcPr>
          <w:p>
            <w:pPr>
              <w:ind w:firstLine="0"/>
              <w:jc w:val="center"/>
              <w:rPr>
                <w:rFonts w:ascii="黑体" w:hAnsi="黑体" w:eastAsia="黑体"/>
                <w:b/>
                <w:bCs/>
                <w:sz w:val="24"/>
                <w:szCs w:val="24"/>
              </w:rPr>
            </w:pPr>
            <w:r>
              <w:rPr>
                <w:rFonts w:hint="eastAsia" w:ascii="黑体" w:hAnsi="黑体" w:eastAsia="黑体"/>
                <w:b/>
                <w:bCs/>
                <w:sz w:val="24"/>
                <w:szCs w:val="24"/>
              </w:rPr>
              <w:t>采纳情况</w:t>
            </w:r>
          </w:p>
        </w:tc>
        <w:tc>
          <w:tcPr>
            <w:tcW w:w="2085" w:type="dxa"/>
            <w:vAlign w:val="center"/>
          </w:tcPr>
          <w:p>
            <w:pPr>
              <w:ind w:firstLine="0"/>
              <w:jc w:val="center"/>
              <w:rPr>
                <w:rFonts w:ascii="黑体" w:hAnsi="黑体" w:eastAsia="黑体"/>
                <w:b/>
                <w:bCs/>
                <w:sz w:val="24"/>
                <w:szCs w:val="24"/>
              </w:rPr>
            </w:pPr>
            <w:r>
              <w:rPr>
                <w:rFonts w:ascii="黑体" w:hAnsi="黑体" w:eastAsia="黑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993" w:type="dxa"/>
            <w:vAlign w:val="center"/>
          </w:tcPr>
          <w:p>
            <w:pPr>
              <w:pStyle w:val="16"/>
              <w:numPr>
                <w:ilvl w:val="0"/>
                <w:numId w:val="1"/>
              </w:numPr>
              <w:ind w:firstLineChars="0"/>
              <w:jc w:val="center"/>
              <w:rPr>
                <w:rFonts w:ascii="仿宋_GB2312" w:eastAsia="仿宋_GB2312"/>
                <w:sz w:val="24"/>
                <w:szCs w:val="24"/>
              </w:rPr>
            </w:pPr>
          </w:p>
        </w:tc>
        <w:tc>
          <w:tcPr>
            <w:tcW w:w="5261" w:type="dxa"/>
            <w:vAlign w:val="center"/>
          </w:tcPr>
          <w:p>
            <w:pPr>
              <w:ind w:firstLine="0"/>
              <w:jc w:val="left"/>
              <w:rPr>
                <w:rFonts w:hint="eastAsia" w:ascii="仿宋_GB2312" w:eastAsia="仿宋_GB2312"/>
                <w:sz w:val="24"/>
                <w:szCs w:val="24"/>
              </w:rPr>
            </w:pPr>
            <w:r>
              <w:rPr>
                <w:rFonts w:hint="eastAsia" w:ascii="仿宋_GB2312" w:eastAsia="仿宋_GB2312"/>
                <w:sz w:val="24"/>
                <w:szCs w:val="24"/>
              </w:rPr>
              <w:t>《办法》规定市破产事务管理部门可以根据本市个人破产办理需要，综合确定管理人名册规模，分批编制管理人名册，对管理人名册实行分级管理。其中，分级管理等规定较为笼统，建议进一步细化标准，在选入名册时即确定分级类型，与其所能管理破产事务的范围等。</w:t>
            </w:r>
          </w:p>
        </w:tc>
        <w:tc>
          <w:tcPr>
            <w:tcW w:w="1417" w:type="dxa"/>
            <w:vAlign w:val="center"/>
          </w:tcPr>
          <w:p>
            <w:pPr>
              <w:ind w:firstLine="0"/>
              <w:jc w:val="center"/>
              <w:rPr>
                <w:rFonts w:ascii="仿宋_GB2312" w:eastAsia="仿宋_GB2312"/>
                <w:sz w:val="24"/>
                <w:szCs w:val="24"/>
              </w:rPr>
            </w:pPr>
            <w:r>
              <w:rPr>
                <w:rFonts w:ascii="仿宋_GB2312" w:eastAsia="仿宋_GB2312"/>
                <w:sz w:val="24"/>
                <w:szCs w:val="24"/>
              </w:rPr>
              <w:t>拟采纳</w:t>
            </w:r>
          </w:p>
        </w:tc>
        <w:tc>
          <w:tcPr>
            <w:tcW w:w="2085" w:type="dxa"/>
            <w:vAlign w:val="center"/>
          </w:tcPr>
          <w:p>
            <w:pPr>
              <w:ind w:firstLine="0"/>
              <w:jc w:val="left"/>
              <w:rPr>
                <w:rFonts w:ascii="仿宋_GB2312" w:eastAsia="仿宋_GB2312"/>
                <w:sz w:val="24"/>
                <w:szCs w:val="24"/>
              </w:rPr>
            </w:pPr>
            <w:r>
              <w:rPr>
                <w:rFonts w:ascii="仿宋_GB2312" w:eastAsia="仿宋_GB2312"/>
                <w:sz w:val="24"/>
                <w:szCs w:val="24"/>
              </w:rPr>
              <w:t>已涵盖</w:t>
            </w:r>
            <w:r>
              <w:rPr>
                <w:rFonts w:hint="eastAsia" w:ascii="仿宋_GB2312" w:eastAsia="仿宋_GB2312"/>
                <w:sz w:val="24"/>
                <w:szCs w:val="24"/>
              </w:rPr>
              <w:t>，名册分为机构管理人、个人管理人两类。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993" w:type="dxa"/>
            <w:vAlign w:val="center"/>
          </w:tcPr>
          <w:p>
            <w:pPr>
              <w:pStyle w:val="16"/>
              <w:numPr>
                <w:ilvl w:val="0"/>
                <w:numId w:val="1"/>
              </w:numPr>
              <w:ind w:firstLineChars="0"/>
              <w:jc w:val="center"/>
              <w:rPr>
                <w:rFonts w:ascii="仿宋_GB2312" w:eastAsia="仿宋_GB2312"/>
                <w:sz w:val="24"/>
                <w:szCs w:val="24"/>
              </w:rPr>
            </w:pPr>
          </w:p>
        </w:tc>
        <w:tc>
          <w:tcPr>
            <w:tcW w:w="5261" w:type="dxa"/>
            <w:vAlign w:val="center"/>
          </w:tcPr>
          <w:p>
            <w:pPr>
              <w:ind w:firstLine="0"/>
              <w:jc w:val="left"/>
              <w:rPr>
                <w:rFonts w:hint="eastAsia" w:ascii="仿宋_GB2312" w:eastAsia="仿宋_GB2312"/>
                <w:sz w:val="24"/>
                <w:szCs w:val="24"/>
              </w:rPr>
            </w:pPr>
            <w:r>
              <w:rPr>
                <w:rFonts w:hint="eastAsia" w:ascii="仿宋_GB2312" w:eastAsia="仿宋_GB2312"/>
                <w:sz w:val="24"/>
                <w:szCs w:val="24"/>
              </w:rPr>
              <w:t>关于管理人执业地域问题。从工作便利度、对破产申请人考察期间的监督履职等方面考虑，建议酌定参照企业破产案件管理人入册标准在本省或市范围内选取符合资质条件的机构或个人入册。</w:t>
            </w:r>
          </w:p>
        </w:tc>
        <w:tc>
          <w:tcPr>
            <w:tcW w:w="1417" w:type="dxa"/>
            <w:vAlign w:val="center"/>
          </w:tcPr>
          <w:p>
            <w:pPr>
              <w:ind w:firstLine="0"/>
              <w:jc w:val="center"/>
              <w:rPr>
                <w:rFonts w:ascii="仿宋_GB2312" w:eastAsia="仿宋_GB2312"/>
                <w:sz w:val="24"/>
                <w:szCs w:val="24"/>
              </w:rPr>
            </w:pPr>
            <w:r>
              <w:rPr>
                <w:rFonts w:ascii="仿宋_GB2312" w:eastAsia="仿宋_GB2312"/>
                <w:sz w:val="24"/>
                <w:szCs w:val="24"/>
              </w:rPr>
              <w:t>暂未采纳</w:t>
            </w:r>
          </w:p>
        </w:tc>
        <w:tc>
          <w:tcPr>
            <w:tcW w:w="2085" w:type="dxa"/>
            <w:vAlign w:val="center"/>
          </w:tcPr>
          <w:p>
            <w:pPr>
              <w:ind w:firstLine="0"/>
              <w:jc w:val="left"/>
              <w:rPr>
                <w:rFonts w:ascii="仿宋_GB2312" w:eastAsia="仿宋_GB2312"/>
                <w:sz w:val="24"/>
                <w:szCs w:val="24"/>
              </w:rPr>
            </w:pPr>
            <w:r>
              <w:rPr>
                <w:rFonts w:ascii="仿宋_GB2312" w:eastAsia="仿宋_GB2312"/>
                <w:sz w:val="24"/>
                <w:szCs w:val="24"/>
              </w:rPr>
              <w:t>已综合第一次公开征求意见情况</w:t>
            </w:r>
            <w:r>
              <w:rPr>
                <w:rFonts w:hint="eastAsia" w:ascii="仿宋_GB2312" w:eastAsia="仿宋_GB2312"/>
                <w:sz w:val="24"/>
                <w:szCs w:val="24"/>
              </w:rPr>
              <w:t>，</w:t>
            </w:r>
            <w:r>
              <w:rPr>
                <w:rFonts w:ascii="仿宋_GB2312" w:eastAsia="仿宋_GB2312"/>
                <w:sz w:val="24"/>
                <w:szCs w:val="24"/>
              </w:rPr>
              <w:t>删除管理人执业地域相关规定</w:t>
            </w:r>
            <w:r>
              <w:rPr>
                <w:rFonts w:hint="eastAsia" w:ascii="仿宋_GB2312"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993" w:type="dxa"/>
            <w:vAlign w:val="center"/>
          </w:tcPr>
          <w:p>
            <w:pPr>
              <w:pStyle w:val="16"/>
              <w:numPr>
                <w:ilvl w:val="0"/>
                <w:numId w:val="1"/>
              </w:numPr>
              <w:ind w:firstLineChars="0"/>
              <w:jc w:val="center"/>
              <w:rPr>
                <w:rFonts w:ascii="仿宋_GB2312" w:eastAsia="仿宋_GB2312"/>
                <w:sz w:val="24"/>
                <w:szCs w:val="24"/>
              </w:rPr>
            </w:pPr>
          </w:p>
        </w:tc>
        <w:tc>
          <w:tcPr>
            <w:tcW w:w="5261" w:type="dxa"/>
            <w:vAlign w:val="center"/>
          </w:tcPr>
          <w:p>
            <w:pPr>
              <w:ind w:firstLine="0"/>
              <w:rPr>
                <w:rFonts w:hint="eastAsia" w:ascii="仿宋_GB2312" w:eastAsia="仿宋_GB2312"/>
                <w:sz w:val="24"/>
                <w:szCs w:val="24"/>
              </w:rPr>
            </w:pPr>
            <w:r>
              <w:rPr>
                <w:rFonts w:hint="eastAsia" w:ascii="仿宋_GB2312" w:eastAsia="仿宋_GB2312"/>
                <w:sz w:val="24"/>
                <w:szCs w:val="24"/>
              </w:rPr>
              <w:t>关于破产管理人的选任，我单位认为除传统的律所、会计师事务所外，</w:t>
            </w:r>
            <w:r>
              <w:rPr>
                <w:rFonts w:hint="eastAsia" w:ascii="仿宋_GB2312" w:eastAsia="仿宋_GB2312"/>
                <w:b/>
                <w:sz w:val="24"/>
                <w:szCs w:val="24"/>
              </w:rPr>
              <w:t>金融行业机构不适宜担任管理人。</w:t>
            </w:r>
            <w:r>
              <w:rPr>
                <w:rFonts w:hint="eastAsia" w:ascii="仿宋_GB2312" w:eastAsia="仿宋_GB2312"/>
                <w:sz w:val="24"/>
                <w:szCs w:val="24"/>
              </w:rPr>
              <w:t>理由：金融行业机构作为破产个人的服务方，双方存在利益冲突，如由金融行业机构担任管理人，不符合利益回避原则，易加剧双方之间的矛盾冲突，不利于业务的开展。</w:t>
            </w:r>
          </w:p>
        </w:tc>
        <w:tc>
          <w:tcPr>
            <w:tcW w:w="1417" w:type="dxa"/>
            <w:vAlign w:val="center"/>
          </w:tcPr>
          <w:p>
            <w:pPr>
              <w:ind w:firstLine="0"/>
              <w:jc w:val="center"/>
              <w:rPr>
                <w:rFonts w:ascii="仿宋_GB2312" w:eastAsia="仿宋_GB2312"/>
                <w:sz w:val="24"/>
                <w:szCs w:val="24"/>
              </w:rPr>
            </w:pPr>
            <w:r>
              <w:rPr>
                <w:rFonts w:hint="eastAsia" w:ascii="仿宋_GB2312" w:eastAsia="仿宋_GB2312"/>
                <w:sz w:val="24"/>
                <w:szCs w:val="24"/>
              </w:rPr>
              <w:t>暂未</w:t>
            </w:r>
            <w:r>
              <w:rPr>
                <w:rFonts w:ascii="仿宋_GB2312" w:eastAsia="仿宋_GB2312"/>
                <w:sz w:val="24"/>
                <w:szCs w:val="24"/>
              </w:rPr>
              <w:t>采纳</w:t>
            </w:r>
          </w:p>
        </w:tc>
        <w:tc>
          <w:tcPr>
            <w:tcW w:w="2085" w:type="dxa"/>
            <w:vAlign w:val="center"/>
          </w:tcPr>
          <w:p>
            <w:pPr>
              <w:ind w:firstLine="0"/>
              <w:jc w:val="left"/>
              <w:rPr>
                <w:rFonts w:hint="eastAsia" w:ascii="仿宋_GB2312" w:eastAsia="仿宋_GB2312"/>
                <w:sz w:val="24"/>
                <w:szCs w:val="24"/>
              </w:rPr>
            </w:pPr>
            <w:r>
              <w:rPr>
                <w:rFonts w:hint="eastAsia" w:ascii="仿宋_GB2312" w:eastAsia="仿宋_GB2312"/>
                <w:sz w:val="24"/>
                <w:szCs w:val="24"/>
              </w:rPr>
              <w:t>依据《个破条例》，符合规定且具有法律、会计、金融等专业资质的机构和个人，均可以申请编入管理人名册。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993" w:type="dxa"/>
            <w:vAlign w:val="center"/>
          </w:tcPr>
          <w:p>
            <w:pPr>
              <w:pStyle w:val="16"/>
              <w:numPr>
                <w:ilvl w:val="0"/>
                <w:numId w:val="1"/>
              </w:numPr>
              <w:ind w:firstLineChars="0"/>
              <w:jc w:val="center"/>
              <w:rPr>
                <w:rFonts w:ascii="仿宋_GB2312" w:eastAsia="仿宋_GB2312"/>
                <w:sz w:val="24"/>
                <w:szCs w:val="24"/>
              </w:rPr>
            </w:pPr>
          </w:p>
        </w:tc>
        <w:tc>
          <w:tcPr>
            <w:tcW w:w="5261" w:type="dxa"/>
            <w:vAlign w:val="center"/>
          </w:tcPr>
          <w:p>
            <w:pPr>
              <w:ind w:firstLine="0"/>
              <w:rPr>
                <w:rFonts w:ascii="仿宋_GB2312" w:eastAsia="仿宋_GB2312"/>
                <w:sz w:val="24"/>
                <w:szCs w:val="24"/>
              </w:rPr>
            </w:pPr>
            <w:r>
              <w:rPr>
                <w:rFonts w:hint="eastAsia" w:ascii="仿宋_GB2312" w:eastAsia="仿宋_GB2312"/>
                <w:sz w:val="24"/>
                <w:szCs w:val="24"/>
              </w:rPr>
              <w:t>建议将第六条修改为：【机构管理人资质条件】律师事务所、公证机构、会计师事务所以及其他具有法律、会计、金融等专业资质的机构，申请编入管理人名册的，应当符合下列条件：（一）依法成立三年以上（含三年）；（二）拥有十名以上（含十名）具有法律、会计、金融等专业资质的专职从业人员；（三）具备担任管理人所需专业能力。</w:t>
            </w:r>
          </w:p>
        </w:tc>
        <w:tc>
          <w:tcPr>
            <w:tcW w:w="1417" w:type="dxa"/>
            <w:vAlign w:val="center"/>
          </w:tcPr>
          <w:p>
            <w:pPr>
              <w:ind w:firstLine="0"/>
              <w:jc w:val="center"/>
              <w:rPr>
                <w:rFonts w:ascii="仿宋_GB2312" w:eastAsia="仿宋_GB2312"/>
                <w:sz w:val="24"/>
                <w:szCs w:val="24"/>
              </w:rPr>
            </w:pPr>
            <w:r>
              <w:rPr>
                <w:rFonts w:hint="eastAsia" w:ascii="仿宋_GB2312" w:eastAsia="仿宋_GB2312"/>
                <w:sz w:val="24"/>
                <w:szCs w:val="24"/>
              </w:rPr>
              <w:t>解释</w:t>
            </w:r>
          </w:p>
        </w:tc>
        <w:tc>
          <w:tcPr>
            <w:tcW w:w="2085" w:type="dxa"/>
            <w:vMerge w:val="restart"/>
            <w:vAlign w:val="center"/>
          </w:tcPr>
          <w:p>
            <w:pPr>
              <w:ind w:firstLine="0"/>
              <w:rPr>
                <w:rFonts w:ascii="仿宋_GB2312" w:eastAsia="仿宋_GB2312"/>
                <w:sz w:val="24"/>
                <w:szCs w:val="24"/>
              </w:rPr>
            </w:pPr>
            <w:r>
              <w:rPr>
                <w:rFonts w:hint="eastAsia" w:ascii="仿宋_GB2312" w:eastAsia="仿宋_GB2312"/>
                <w:sz w:val="24"/>
                <w:szCs w:val="24"/>
              </w:rPr>
              <w:t>依据《个破条例》及《名册管理办法》，符合规定且具有法律、会计、金融等专业资质的机构和个人，可以申请编入管理人名册；《名册管理办法》作为文件，不宜对资质一一列举。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jc w:val="center"/>
        </w:trPr>
        <w:tc>
          <w:tcPr>
            <w:tcW w:w="993" w:type="dxa"/>
            <w:vAlign w:val="center"/>
          </w:tcPr>
          <w:p>
            <w:pPr>
              <w:pStyle w:val="16"/>
              <w:numPr>
                <w:ilvl w:val="0"/>
                <w:numId w:val="1"/>
              </w:numPr>
              <w:ind w:firstLineChars="0"/>
              <w:jc w:val="center"/>
              <w:rPr>
                <w:rFonts w:ascii="仿宋_GB2312" w:eastAsia="仿宋_GB2312"/>
                <w:sz w:val="24"/>
                <w:szCs w:val="24"/>
              </w:rPr>
            </w:pPr>
          </w:p>
        </w:tc>
        <w:tc>
          <w:tcPr>
            <w:tcW w:w="5261" w:type="dxa"/>
            <w:vAlign w:val="center"/>
          </w:tcPr>
          <w:p>
            <w:pPr>
              <w:ind w:firstLine="0"/>
              <w:jc w:val="left"/>
              <w:rPr>
                <w:rFonts w:ascii="仿宋_GB2312" w:eastAsia="仿宋_GB2312"/>
                <w:sz w:val="24"/>
                <w:szCs w:val="24"/>
              </w:rPr>
            </w:pPr>
            <w:r>
              <w:rPr>
                <w:rFonts w:hint="eastAsia" w:ascii="仿宋_GB2312" w:eastAsia="仿宋_GB2312"/>
                <w:sz w:val="24"/>
                <w:szCs w:val="24"/>
              </w:rPr>
              <w:t>建议第七条修改为：【个人管理人资质条件】律师、公证员、注册会计师、以及其他具有法律、会计、金融等专业资质的个人，申请编入管理人名册的，应当符合下列条件：（一）取得专业资质后连续从事相关工作满五年；（二）征得所在单位书面同意。本办法有关个人专业资质，包括律师、注册会计师等执业资格以及国家职业资格目录规定的法律、会计、金融相关职业资格。</w:t>
            </w:r>
          </w:p>
        </w:tc>
        <w:tc>
          <w:tcPr>
            <w:tcW w:w="1417" w:type="dxa"/>
            <w:vAlign w:val="center"/>
          </w:tcPr>
          <w:p>
            <w:pPr>
              <w:ind w:firstLine="0"/>
              <w:jc w:val="center"/>
              <w:rPr>
                <w:rFonts w:ascii="仿宋_GB2312" w:eastAsia="仿宋_GB2312"/>
                <w:sz w:val="24"/>
                <w:szCs w:val="24"/>
              </w:rPr>
            </w:pPr>
            <w:r>
              <w:rPr>
                <w:rFonts w:hint="eastAsia" w:ascii="仿宋_GB2312" w:eastAsia="仿宋_GB2312"/>
                <w:sz w:val="24"/>
                <w:szCs w:val="24"/>
              </w:rPr>
              <w:t>解释</w:t>
            </w:r>
          </w:p>
        </w:tc>
        <w:tc>
          <w:tcPr>
            <w:tcW w:w="2085" w:type="dxa"/>
            <w:vMerge w:val="continue"/>
            <w:vAlign w:val="center"/>
          </w:tcPr>
          <w:p>
            <w:pPr>
              <w:ind w:firstLine="0"/>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993" w:type="dxa"/>
            <w:vAlign w:val="center"/>
          </w:tcPr>
          <w:p>
            <w:pPr>
              <w:pStyle w:val="16"/>
              <w:numPr>
                <w:ilvl w:val="0"/>
                <w:numId w:val="1"/>
              </w:numPr>
              <w:ind w:firstLineChars="0"/>
              <w:jc w:val="center"/>
              <w:rPr>
                <w:rFonts w:ascii="仿宋_GB2312" w:eastAsia="仿宋_GB2312"/>
                <w:sz w:val="24"/>
                <w:szCs w:val="24"/>
              </w:rPr>
            </w:pPr>
          </w:p>
        </w:tc>
        <w:tc>
          <w:tcPr>
            <w:tcW w:w="5261" w:type="dxa"/>
            <w:vAlign w:val="center"/>
          </w:tcPr>
          <w:p>
            <w:pPr>
              <w:ind w:firstLine="0"/>
              <w:rPr>
                <w:rFonts w:ascii="仿宋_GB2312" w:eastAsia="仿宋_GB2312"/>
                <w:sz w:val="24"/>
                <w:szCs w:val="24"/>
              </w:rPr>
            </w:pPr>
            <w:r>
              <w:rPr>
                <w:rFonts w:hint="eastAsia" w:ascii="仿宋_GB2312" w:eastAsia="仿宋_GB2312"/>
                <w:sz w:val="24"/>
                <w:szCs w:val="24"/>
              </w:rPr>
              <w:t>《中华人民共和国企业破产法》（下称《破产法》）第三章第二十四条规定：管理人可以由有关部门、机构的人员组成的清算组或者依法设立的律师事务所、会计师事务所、破产清算事务所等社会中介机构担任。</w:t>
            </w:r>
          </w:p>
          <w:p>
            <w:pPr>
              <w:ind w:firstLine="0"/>
              <w:rPr>
                <w:rFonts w:ascii="仿宋_GB2312" w:eastAsia="仿宋_GB2312"/>
                <w:sz w:val="24"/>
                <w:szCs w:val="24"/>
              </w:rPr>
            </w:pPr>
            <w:r>
              <w:rPr>
                <w:rFonts w:hint="eastAsia" w:ascii="仿宋_GB2312" w:eastAsia="仿宋_GB2312"/>
                <w:sz w:val="24"/>
                <w:szCs w:val="24"/>
              </w:rPr>
              <w:t>《破产法》明确规定破产事务清算所有担任管理人的资质，但在条例中却缺少相应的这一主体，我所认为条例应在遵循破产法的前提下进行制定，因此建议条例第六条【机构管理人资质条件】中应增加“破产清算事务所”这一类别机构。</w:t>
            </w:r>
          </w:p>
        </w:tc>
        <w:tc>
          <w:tcPr>
            <w:tcW w:w="1417" w:type="dxa"/>
            <w:vAlign w:val="center"/>
          </w:tcPr>
          <w:p>
            <w:pPr>
              <w:ind w:firstLine="0"/>
              <w:jc w:val="center"/>
              <w:rPr>
                <w:rFonts w:ascii="仿宋_GB2312" w:eastAsia="仿宋_GB2312"/>
                <w:sz w:val="24"/>
                <w:szCs w:val="24"/>
              </w:rPr>
            </w:pPr>
            <w:r>
              <w:rPr>
                <w:rFonts w:ascii="仿宋_GB2312" w:eastAsia="仿宋_GB2312"/>
                <w:sz w:val="24"/>
                <w:szCs w:val="24"/>
              </w:rPr>
              <w:t>解释</w:t>
            </w:r>
          </w:p>
        </w:tc>
        <w:tc>
          <w:tcPr>
            <w:tcW w:w="2085" w:type="dxa"/>
            <w:vMerge w:val="continue"/>
            <w:vAlign w:val="center"/>
          </w:tcPr>
          <w:p>
            <w:pPr>
              <w:ind w:firstLine="0"/>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993" w:type="dxa"/>
            <w:vAlign w:val="center"/>
          </w:tcPr>
          <w:p>
            <w:pPr>
              <w:pStyle w:val="16"/>
              <w:numPr>
                <w:ilvl w:val="0"/>
                <w:numId w:val="1"/>
              </w:numPr>
              <w:ind w:firstLineChars="0"/>
              <w:jc w:val="center"/>
              <w:rPr>
                <w:rFonts w:ascii="仿宋_GB2312" w:eastAsia="仿宋_GB2312"/>
                <w:sz w:val="24"/>
                <w:szCs w:val="24"/>
              </w:rPr>
            </w:pPr>
          </w:p>
        </w:tc>
        <w:tc>
          <w:tcPr>
            <w:tcW w:w="5261" w:type="dxa"/>
            <w:vAlign w:val="center"/>
          </w:tcPr>
          <w:p>
            <w:pPr>
              <w:ind w:firstLine="0"/>
              <w:jc w:val="left"/>
              <w:rPr>
                <w:rFonts w:hint="eastAsia" w:ascii="仿宋_GB2312" w:eastAsia="仿宋_GB2312"/>
                <w:sz w:val="24"/>
                <w:szCs w:val="24"/>
              </w:rPr>
            </w:pPr>
            <w:r>
              <w:rPr>
                <w:rFonts w:hint="eastAsia" w:ascii="仿宋_GB2312" w:eastAsia="仿宋_GB2312"/>
                <w:sz w:val="24"/>
                <w:szCs w:val="24"/>
              </w:rPr>
              <w:t>建议将第八条【</w:t>
            </w:r>
            <w:r>
              <w:rPr>
                <w:rFonts w:hint="eastAsia" w:ascii="仿宋_GB2312" w:hAnsi="等线" w:eastAsia="仿宋_GB2312" w:cs="Times New Roman"/>
                <w:sz w:val="24"/>
                <w:szCs w:val="24"/>
              </w:rPr>
              <w:t>禁止入册情形</w:t>
            </w:r>
            <w:r>
              <w:rPr>
                <w:rFonts w:hint="eastAsia" w:ascii="仿宋_GB2312" w:eastAsia="仿宋_GB2312"/>
                <w:sz w:val="24"/>
                <w:szCs w:val="24"/>
              </w:rPr>
              <w:t>】第（二）项</w:t>
            </w:r>
            <w:r>
              <w:rPr>
                <w:rFonts w:hint="eastAsia" w:ascii="仿宋_GB2312" w:hAnsi="等线" w:eastAsia="仿宋_GB2312" w:cs="Times New Roman"/>
                <w:sz w:val="24"/>
                <w:szCs w:val="24"/>
              </w:rPr>
              <w:t>“被吊销相关专业资质或者登记证书的”</w:t>
            </w:r>
            <w:r>
              <w:rPr>
                <w:rFonts w:hint="eastAsia" w:ascii="仿宋_GB2312" w:eastAsia="仿宋_GB2312"/>
                <w:sz w:val="24"/>
                <w:szCs w:val="24"/>
              </w:rPr>
              <w:t>修改为</w:t>
            </w:r>
            <w:r>
              <w:rPr>
                <w:rFonts w:hint="eastAsia" w:ascii="仿宋_GB2312" w:hAnsi="等线" w:eastAsia="仿宋_GB2312" w:cs="Times New Roman"/>
                <w:sz w:val="24"/>
                <w:szCs w:val="24"/>
              </w:rPr>
              <w:t>“</w:t>
            </w:r>
            <w:r>
              <w:rPr>
                <w:rFonts w:hint="eastAsia" w:ascii="仿宋_GB2312" w:hAnsi="等线" w:eastAsia="仿宋_GB2312" w:cs="Times New Roman"/>
                <w:b/>
                <w:sz w:val="24"/>
                <w:szCs w:val="24"/>
              </w:rPr>
              <w:t>曾</w:t>
            </w:r>
            <w:r>
              <w:rPr>
                <w:rFonts w:hint="eastAsia" w:ascii="仿宋_GB2312" w:hAnsi="等线" w:eastAsia="仿宋_GB2312" w:cs="Times New Roman"/>
                <w:sz w:val="24"/>
                <w:szCs w:val="24"/>
              </w:rPr>
              <w:t>被吊销相关专业执行证书的”</w:t>
            </w:r>
            <w:r>
              <w:rPr>
                <w:rFonts w:hint="eastAsia" w:ascii="仿宋_GB2312" w:eastAsia="仿宋_GB2312"/>
                <w:sz w:val="24"/>
                <w:szCs w:val="24"/>
              </w:rPr>
              <w:t>。理由：与</w:t>
            </w:r>
            <w:r>
              <w:rPr>
                <w:rFonts w:hint="eastAsia" w:ascii="仿宋_GB2312" w:hAnsi="等线" w:eastAsia="仿宋_GB2312" w:cs="Times New Roman"/>
                <w:sz w:val="24"/>
                <w:szCs w:val="24"/>
              </w:rPr>
              <w:t>《深圳经济特区个人破产条例》第一百五十八条</w:t>
            </w:r>
            <w:r>
              <w:rPr>
                <w:rFonts w:hint="eastAsia" w:ascii="仿宋_GB2312" w:eastAsia="仿宋_GB2312"/>
                <w:sz w:val="24"/>
                <w:szCs w:val="24"/>
              </w:rPr>
              <w:t>保持一致。</w:t>
            </w:r>
          </w:p>
        </w:tc>
        <w:tc>
          <w:tcPr>
            <w:tcW w:w="1417" w:type="dxa"/>
            <w:vAlign w:val="center"/>
          </w:tcPr>
          <w:p>
            <w:pPr>
              <w:ind w:firstLine="0"/>
              <w:jc w:val="center"/>
              <w:rPr>
                <w:rFonts w:ascii="仿宋_GB2312" w:eastAsia="仿宋_GB2312"/>
                <w:sz w:val="24"/>
                <w:szCs w:val="24"/>
              </w:rPr>
            </w:pPr>
            <w:r>
              <w:rPr>
                <w:rFonts w:ascii="仿宋_GB2312" w:eastAsia="仿宋_GB2312"/>
                <w:sz w:val="24"/>
                <w:szCs w:val="24"/>
              </w:rPr>
              <w:t>拟采纳</w:t>
            </w:r>
          </w:p>
        </w:tc>
        <w:tc>
          <w:tcPr>
            <w:tcW w:w="2085" w:type="dxa"/>
            <w:vAlign w:val="center"/>
          </w:tcPr>
          <w:p>
            <w:pPr>
              <w:ind w:firstLine="0"/>
              <w:jc w:val="lef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993" w:type="dxa"/>
            <w:vAlign w:val="center"/>
          </w:tcPr>
          <w:p>
            <w:pPr>
              <w:pStyle w:val="16"/>
              <w:numPr>
                <w:ilvl w:val="0"/>
                <w:numId w:val="1"/>
              </w:numPr>
              <w:ind w:firstLineChars="0"/>
              <w:jc w:val="center"/>
              <w:rPr>
                <w:rFonts w:ascii="仿宋_GB2312" w:eastAsia="仿宋_GB2312"/>
                <w:sz w:val="24"/>
                <w:szCs w:val="24"/>
              </w:rPr>
            </w:pPr>
          </w:p>
        </w:tc>
        <w:tc>
          <w:tcPr>
            <w:tcW w:w="5261" w:type="dxa"/>
            <w:vAlign w:val="center"/>
          </w:tcPr>
          <w:p>
            <w:pPr>
              <w:ind w:firstLine="0"/>
              <w:jc w:val="left"/>
              <w:rPr>
                <w:rFonts w:ascii="仿宋_GB2312" w:eastAsia="仿宋_GB2312"/>
                <w:sz w:val="24"/>
                <w:szCs w:val="24"/>
              </w:rPr>
            </w:pPr>
            <w:r>
              <w:rPr>
                <w:rFonts w:hint="eastAsia" w:ascii="仿宋_GB2312" w:eastAsia="仿宋_GB2312"/>
                <w:sz w:val="24"/>
                <w:szCs w:val="24"/>
              </w:rPr>
              <w:t>建议删除第八条【禁止情形】第（五）项“因涉嫌违纪违法被有关机关调查或者处理的”。理由：在没有任何结果的情况下，就把人拒绝于门外，不合法不合理。</w:t>
            </w:r>
          </w:p>
        </w:tc>
        <w:tc>
          <w:tcPr>
            <w:tcW w:w="1417" w:type="dxa"/>
            <w:vAlign w:val="center"/>
          </w:tcPr>
          <w:p>
            <w:pPr>
              <w:ind w:firstLine="0"/>
              <w:jc w:val="center"/>
              <w:rPr>
                <w:rFonts w:ascii="仿宋_GB2312" w:eastAsia="仿宋_GB2312"/>
                <w:sz w:val="24"/>
                <w:szCs w:val="24"/>
              </w:rPr>
            </w:pPr>
            <w:r>
              <w:rPr>
                <w:rFonts w:ascii="仿宋_GB2312" w:eastAsia="仿宋_GB2312"/>
                <w:sz w:val="24"/>
                <w:szCs w:val="24"/>
              </w:rPr>
              <w:t>暂未采纳</w:t>
            </w:r>
          </w:p>
        </w:tc>
        <w:tc>
          <w:tcPr>
            <w:tcW w:w="2085" w:type="dxa"/>
            <w:vAlign w:val="center"/>
          </w:tcPr>
          <w:p>
            <w:pPr>
              <w:ind w:firstLine="0"/>
              <w:jc w:val="left"/>
              <w:rPr>
                <w:rFonts w:ascii="仿宋_GB2312" w:eastAsia="仿宋_GB2312"/>
                <w:sz w:val="24"/>
                <w:szCs w:val="24"/>
              </w:rPr>
            </w:pPr>
            <w:r>
              <w:rPr>
                <w:rFonts w:hint="eastAsia" w:ascii="仿宋_GB2312" w:eastAsia="仿宋_GB2312"/>
                <w:sz w:val="24"/>
                <w:szCs w:val="24"/>
              </w:rPr>
              <w:t>为确保个人破产管理人依法顺利履职，名册编制期间因涉嫌违纪违法被有关机关调查或者处理的，不宜纳入名册；相关调查结束且确实不存在违法违纪情形的，可以重新申请编入名册。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993" w:type="dxa"/>
            <w:vAlign w:val="center"/>
          </w:tcPr>
          <w:p>
            <w:pPr>
              <w:pStyle w:val="16"/>
              <w:numPr>
                <w:ilvl w:val="0"/>
                <w:numId w:val="1"/>
              </w:numPr>
              <w:ind w:firstLineChars="0"/>
              <w:jc w:val="center"/>
              <w:rPr>
                <w:rFonts w:ascii="仿宋_GB2312" w:eastAsia="仿宋_GB2312"/>
                <w:sz w:val="24"/>
                <w:szCs w:val="24"/>
              </w:rPr>
            </w:pPr>
          </w:p>
        </w:tc>
        <w:tc>
          <w:tcPr>
            <w:tcW w:w="5261" w:type="dxa"/>
            <w:vAlign w:val="center"/>
          </w:tcPr>
          <w:p>
            <w:pPr>
              <w:ind w:firstLine="0"/>
              <w:jc w:val="left"/>
              <w:rPr>
                <w:rFonts w:ascii="仿宋_GB2312" w:eastAsia="仿宋_GB2312"/>
                <w:sz w:val="24"/>
                <w:szCs w:val="24"/>
              </w:rPr>
            </w:pPr>
            <w:r>
              <w:rPr>
                <w:rFonts w:hint="eastAsia" w:ascii="仿宋_GB2312" w:eastAsia="仿宋_GB2312"/>
                <w:sz w:val="24"/>
                <w:szCs w:val="24"/>
              </w:rPr>
              <w:t>建议删除第八条【禁止情形】第（十）项“破产事务署认为不宜担任管理人的其他情形”。</w:t>
            </w:r>
          </w:p>
        </w:tc>
        <w:tc>
          <w:tcPr>
            <w:tcW w:w="1417" w:type="dxa"/>
            <w:vAlign w:val="center"/>
          </w:tcPr>
          <w:p>
            <w:pPr>
              <w:ind w:firstLine="0"/>
              <w:jc w:val="center"/>
              <w:rPr>
                <w:rFonts w:ascii="仿宋_GB2312" w:eastAsia="仿宋_GB2312"/>
                <w:sz w:val="24"/>
                <w:szCs w:val="24"/>
              </w:rPr>
            </w:pPr>
            <w:r>
              <w:rPr>
                <w:rFonts w:ascii="仿宋_GB2312" w:eastAsia="仿宋_GB2312"/>
                <w:sz w:val="24"/>
                <w:szCs w:val="24"/>
              </w:rPr>
              <w:t>拟采纳</w:t>
            </w:r>
          </w:p>
        </w:tc>
        <w:tc>
          <w:tcPr>
            <w:tcW w:w="2085" w:type="dxa"/>
            <w:vAlign w:val="center"/>
          </w:tcPr>
          <w:p>
            <w:pPr>
              <w:ind w:firstLine="0"/>
              <w:jc w:val="left"/>
              <w:rPr>
                <w:rFonts w:ascii="仿宋_GB2312" w:eastAsia="仿宋_GB2312"/>
                <w:sz w:val="24"/>
                <w:szCs w:val="24"/>
              </w:rPr>
            </w:pPr>
            <w:r>
              <w:rPr>
                <w:rFonts w:ascii="仿宋_GB2312" w:eastAsia="仿宋_GB2312"/>
                <w:sz w:val="24"/>
                <w:szCs w:val="24"/>
              </w:rPr>
              <w:t>完善相关表述</w:t>
            </w:r>
            <w:r>
              <w:rPr>
                <w:rFonts w:hint="eastAsia" w:ascii="仿宋_GB2312"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93" w:type="dxa"/>
            <w:vAlign w:val="center"/>
          </w:tcPr>
          <w:p>
            <w:pPr>
              <w:pStyle w:val="16"/>
              <w:numPr>
                <w:ilvl w:val="0"/>
                <w:numId w:val="1"/>
              </w:numPr>
              <w:ind w:firstLineChars="0"/>
              <w:jc w:val="center"/>
              <w:rPr>
                <w:rFonts w:ascii="仿宋_GB2312" w:eastAsia="仿宋_GB2312"/>
                <w:sz w:val="24"/>
                <w:szCs w:val="24"/>
              </w:rPr>
            </w:pPr>
          </w:p>
        </w:tc>
        <w:tc>
          <w:tcPr>
            <w:tcW w:w="5261" w:type="dxa"/>
            <w:vAlign w:val="center"/>
          </w:tcPr>
          <w:p>
            <w:pPr>
              <w:ind w:firstLine="0"/>
              <w:jc w:val="left"/>
              <w:rPr>
                <w:rFonts w:hint="eastAsia" w:ascii="仿宋_GB2312" w:eastAsia="仿宋_GB2312"/>
                <w:sz w:val="24"/>
                <w:szCs w:val="24"/>
              </w:rPr>
            </w:pPr>
            <w:r>
              <w:rPr>
                <w:rFonts w:hint="eastAsia" w:ascii="仿宋_GB2312" w:eastAsia="仿宋_GB2312"/>
                <w:sz w:val="24"/>
                <w:szCs w:val="24"/>
              </w:rPr>
              <w:t>建议删除第十七条【资质变化处理】第二款“市破产事务管理部门组织对管理人资质条件进行抽查检查”中的“抽查”二字。理由，检查的具体方式不应限定。</w:t>
            </w:r>
          </w:p>
        </w:tc>
        <w:tc>
          <w:tcPr>
            <w:tcW w:w="1417" w:type="dxa"/>
            <w:vAlign w:val="center"/>
          </w:tcPr>
          <w:p>
            <w:pPr>
              <w:ind w:firstLine="0"/>
              <w:jc w:val="center"/>
              <w:rPr>
                <w:rFonts w:ascii="仿宋_GB2312" w:eastAsia="仿宋_GB2312"/>
                <w:sz w:val="24"/>
                <w:szCs w:val="24"/>
              </w:rPr>
            </w:pPr>
            <w:r>
              <w:rPr>
                <w:rFonts w:ascii="仿宋_GB2312" w:eastAsia="仿宋_GB2312"/>
                <w:sz w:val="24"/>
                <w:szCs w:val="24"/>
              </w:rPr>
              <w:t>拟采纳</w:t>
            </w:r>
          </w:p>
        </w:tc>
        <w:tc>
          <w:tcPr>
            <w:tcW w:w="2085" w:type="dxa"/>
            <w:vAlign w:val="center"/>
          </w:tcPr>
          <w:p>
            <w:pPr>
              <w:ind w:firstLine="0"/>
              <w:jc w:val="left"/>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jc w:val="center"/>
        </w:trPr>
        <w:tc>
          <w:tcPr>
            <w:tcW w:w="993" w:type="dxa"/>
            <w:vAlign w:val="center"/>
          </w:tcPr>
          <w:p>
            <w:pPr>
              <w:pStyle w:val="16"/>
              <w:numPr>
                <w:ilvl w:val="0"/>
                <w:numId w:val="1"/>
              </w:numPr>
              <w:ind w:firstLineChars="0"/>
              <w:jc w:val="center"/>
              <w:rPr>
                <w:rFonts w:ascii="仿宋_GB2312" w:eastAsia="仿宋_GB2312"/>
                <w:sz w:val="24"/>
                <w:szCs w:val="24"/>
              </w:rPr>
            </w:pPr>
          </w:p>
        </w:tc>
        <w:tc>
          <w:tcPr>
            <w:tcW w:w="5261" w:type="dxa"/>
            <w:vAlign w:val="center"/>
          </w:tcPr>
          <w:p>
            <w:pPr>
              <w:ind w:firstLine="0"/>
              <w:jc w:val="left"/>
              <w:rPr>
                <w:rFonts w:hint="eastAsia" w:ascii="仿宋_GB2312" w:eastAsia="仿宋_GB2312"/>
                <w:sz w:val="24"/>
                <w:szCs w:val="24"/>
              </w:rPr>
            </w:pPr>
            <w:r>
              <w:rPr>
                <w:rFonts w:hint="eastAsia" w:ascii="仿宋_GB2312" w:eastAsia="仿宋_GB2312"/>
                <w:sz w:val="24"/>
                <w:szCs w:val="24"/>
              </w:rPr>
              <w:t>第十七条规定：有关行业主管部门、行业协会及其他单位发现管理人存在禁止入册情形的，应当及时通报市破产事务管理部门。建议在本条规定中增加报告或通报时限要求，以避免已存在禁止入册情形的管理人因未及时报告资质变化等原因而担任管理人的情况。</w:t>
            </w:r>
          </w:p>
        </w:tc>
        <w:tc>
          <w:tcPr>
            <w:tcW w:w="1417" w:type="dxa"/>
            <w:vAlign w:val="center"/>
          </w:tcPr>
          <w:p>
            <w:pPr>
              <w:ind w:firstLine="0"/>
              <w:jc w:val="center"/>
              <w:rPr>
                <w:rFonts w:ascii="仿宋_GB2312" w:eastAsia="仿宋_GB2312"/>
                <w:sz w:val="24"/>
                <w:szCs w:val="24"/>
              </w:rPr>
            </w:pPr>
            <w:r>
              <w:rPr>
                <w:rFonts w:ascii="仿宋_GB2312" w:eastAsia="仿宋_GB2312"/>
                <w:sz w:val="24"/>
                <w:szCs w:val="24"/>
              </w:rPr>
              <w:t>解释</w:t>
            </w:r>
          </w:p>
        </w:tc>
        <w:tc>
          <w:tcPr>
            <w:tcW w:w="2085" w:type="dxa"/>
            <w:vAlign w:val="center"/>
          </w:tcPr>
          <w:p>
            <w:pPr>
              <w:ind w:firstLine="0"/>
              <w:jc w:val="left"/>
              <w:rPr>
                <w:rFonts w:hint="eastAsia" w:ascii="仿宋_GB2312" w:eastAsia="仿宋_GB2312"/>
                <w:sz w:val="24"/>
                <w:szCs w:val="24"/>
              </w:rPr>
            </w:pPr>
            <w:r>
              <w:rPr>
                <w:rFonts w:hint="eastAsia" w:ascii="仿宋_GB2312" w:eastAsia="仿宋_GB2312"/>
                <w:sz w:val="24"/>
                <w:szCs w:val="24"/>
              </w:rPr>
              <w:t>管理人资质变化核查，以破产署抽查检查为主；其他部门仅为协助辅助义务。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993" w:type="dxa"/>
            <w:vAlign w:val="center"/>
          </w:tcPr>
          <w:p>
            <w:pPr>
              <w:pStyle w:val="16"/>
              <w:numPr>
                <w:ilvl w:val="0"/>
                <w:numId w:val="1"/>
              </w:numPr>
              <w:ind w:firstLineChars="0"/>
              <w:jc w:val="center"/>
              <w:rPr>
                <w:rFonts w:ascii="仿宋_GB2312" w:eastAsia="仿宋_GB2312"/>
                <w:sz w:val="24"/>
                <w:szCs w:val="24"/>
              </w:rPr>
            </w:pPr>
          </w:p>
        </w:tc>
        <w:tc>
          <w:tcPr>
            <w:tcW w:w="5261" w:type="dxa"/>
            <w:vAlign w:val="center"/>
          </w:tcPr>
          <w:p>
            <w:pPr>
              <w:ind w:firstLine="0"/>
              <w:jc w:val="left"/>
              <w:rPr>
                <w:rFonts w:ascii="仿宋_GB2312" w:eastAsia="仿宋_GB2312"/>
                <w:sz w:val="24"/>
                <w:szCs w:val="24"/>
              </w:rPr>
            </w:pPr>
            <w:r>
              <w:rPr>
                <w:rFonts w:hint="eastAsia" w:ascii="仿宋_GB2312" w:eastAsia="仿宋_GB2312"/>
                <w:sz w:val="24"/>
                <w:szCs w:val="24"/>
              </w:rPr>
              <w:t>建议第二十条第一款【管理人提名】修改为：人民法院通知市破产事务管理部门提出管理人人选的，市破产事务管理部门原则上采用轮候、摇珠、抽签等随机方式提出管理人人选。摇珠和抽签等方式可对过程申请现场监督公证。</w:t>
            </w:r>
          </w:p>
        </w:tc>
        <w:tc>
          <w:tcPr>
            <w:tcW w:w="1417" w:type="dxa"/>
            <w:vAlign w:val="center"/>
          </w:tcPr>
          <w:p>
            <w:pPr>
              <w:ind w:firstLine="0"/>
              <w:jc w:val="center"/>
              <w:rPr>
                <w:rFonts w:ascii="仿宋_GB2312" w:eastAsia="仿宋_GB2312"/>
                <w:sz w:val="24"/>
                <w:szCs w:val="24"/>
              </w:rPr>
            </w:pPr>
            <w:r>
              <w:rPr>
                <w:rFonts w:ascii="仿宋_GB2312" w:eastAsia="仿宋_GB2312"/>
                <w:sz w:val="24"/>
                <w:szCs w:val="24"/>
              </w:rPr>
              <w:t>拟采纳</w:t>
            </w:r>
          </w:p>
        </w:tc>
        <w:tc>
          <w:tcPr>
            <w:tcW w:w="2085" w:type="dxa"/>
            <w:vAlign w:val="center"/>
          </w:tcPr>
          <w:p>
            <w:pPr>
              <w:ind w:firstLine="0"/>
              <w:jc w:val="left"/>
              <w:rPr>
                <w:rFonts w:ascii="仿宋_GB2312" w:eastAsia="仿宋_GB2312"/>
                <w:sz w:val="24"/>
                <w:szCs w:val="24"/>
              </w:rPr>
            </w:pPr>
            <w:r>
              <w:rPr>
                <w:rFonts w:hint="eastAsia" w:ascii="仿宋_GB2312" w:eastAsia="仿宋_GB2312"/>
                <w:sz w:val="24"/>
                <w:szCs w:val="24"/>
              </w:rPr>
              <w:t>在实际工作中根据</w:t>
            </w:r>
            <w:r>
              <w:rPr>
                <w:rFonts w:ascii="仿宋_GB2312" w:eastAsia="仿宋_GB2312"/>
                <w:sz w:val="24"/>
                <w:szCs w:val="24"/>
              </w:rPr>
              <w:t>需要引入公证监督</w:t>
            </w:r>
            <w:r>
              <w:rPr>
                <w:rFonts w:hint="eastAsia" w:ascii="仿宋_GB2312" w:eastAsia="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0" w:hRule="atLeast"/>
          <w:jc w:val="center"/>
        </w:trPr>
        <w:tc>
          <w:tcPr>
            <w:tcW w:w="993" w:type="dxa"/>
            <w:vAlign w:val="center"/>
          </w:tcPr>
          <w:p>
            <w:pPr>
              <w:pStyle w:val="16"/>
              <w:numPr>
                <w:ilvl w:val="0"/>
                <w:numId w:val="1"/>
              </w:numPr>
              <w:ind w:firstLineChars="0"/>
              <w:jc w:val="center"/>
              <w:rPr>
                <w:rFonts w:ascii="仿宋_GB2312" w:eastAsia="仿宋_GB2312"/>
                <w:sz w:val="24"/>
                <w:szCs w:val="24"/>
              </w:rPr>
            </w:pPr>
          </w:p>
        </w:tc>
        <w:tc>
          <w:tcPr>
            <w:tcW w:w="5261" w:type="dxa"/>
            <w:vAlign w:val="center"/>
          </w:tcPr>
          <w:p>
            <w:pPr>
              <w:ind w:firstLine="0"/>
              <w:rPr>
                <w:rFonts w:ascii="仿宋_GB2312" w:eastAsia="仿宋_GB2312"/>
                <w:sz w:val="24"/>
                <w:szCs w:val="24"/>
              </w:rPr>
            </w:pPr>
            <w:r>
              <w:rPr>
                <w:rFonts w:hint="eastAsia" w:ascii="仿宋_GB2312" w:eastAsia="仿宋_GB2312"/>
                <w:sz w:val="24"/>
                <w:szCs w:val="24"/>
              </w:rPr>
              <w:t>破产管理人名册，应当增加“司法查案”技术。司法查案，全国没有资质。我们研究的专用于破产司法查案技术，全国没有资质。它是法律跨学科、复合型技术，不是单一技术，全国资质空白。我们申请国家发明专利技术的时候，专利检索，全国空白。中国150年以来，没有司法复合型技术问世，我们是第一例。相近的会计司法鉴定资质，2018年国家已经撤销与破产司法查案相近的资质，会计司法鉴定资质，司法部2018年已经撤销，从2019年1月1日起，全国没有资质。司法部撤销资质，我们是全国唯一的一个要求撤销资质的人。全国人大、司法部采信我们的意见，撤销了资质。不撤销不行了。全国错误的会计司法鉴定满天飞，误导司法办成千千万万冤假错案，侵害千千万万当事人利益，不撤销，行吗？</w:t>
            </w:r>
          </w:p>
        </w:tc>
        <w:tc>
          <w:tcPr>
            <w:tcW w:w="1417" w:type="dxa"/>
            <w:vAlign w:val="center"/>
          </w:tcPr>
          <w:p>
            <w:pPr>
              <w:ind w:firstLine="0"/>
              <w:jc w:val="center"/>
              <w:rPr>
                <w:rFonts w:ascii="仿宋_GB2312" w:eastAsia="仿宋_GB2312"/>
                <w:sz w:val="24"/>
                <w:szCs w:val="24"/>
              </w:rPr>
            </w:pPr>
            <w:r>
              <w:rPr>
                <w:rFonts w:ascii="仿宋_GB2312" w:eastAsia="仿宋_GB2312"/>
                <w:sz w:val="24"/>
                <w:szCs w:val="24"/>
              </w:rPr>
              <w:t>解释</w:t>
            </w:r>
          </w:p>
        </w:tc>
        <w:tc>
          <w:tcPr>
            <w:tcW w:w="2085" w:type="dxa"/>
            <w:vAlign w:val="center"/>
          </w:tcPr>
          <w:p>
            <w:pPr>
              <w:ind w:firstLine="0"/>
              <w:jc w:val="left"/>
              <w:rPr>
                <w:rFonts w:ascii="仿宋_GB2312" w:eastAsia="仿宋_GB2312"/>
                <w:sz w:val="24"/>
                <w:szCs w:val="24"/>
              </w:rPr>
            </w:pPr>
            <w:r>
              <w:rPr>
                <w:rFonts w:hint="eastAsia" w:ascii="仿宋_GB2312" w:eastAsia="仿宋_GB2312"/>
                <w:sz w:val="24"/>
                <w:szCs w:val="24"/>
              </w:rPr>
              <w:t>《个破条例》要求管理人具有法律、会计、金融等方面专业资质。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993" w:type="dxa"/>
            <w:vAlign w:val="center"/>
          </w:tcPr>
          <w:p>
            <w:pPr>
              <w:pStyle w:val="16"/>
              <w:numPr>
                <w:ilvl w:val="0"/>
                <w:numId w:val="1"/>
              </w:numPr>
              <w:ind w:firstLineChars="0"/>
              <w:jc w:val="center"/>
              <w:rPr>
                <w:rFonts w:ascii="仿宋_GB2312" w:eastAsia="仿宋_GB2312"/>
                <w:sz w:val="24"/>
                <w:szCs w:val="24"/>
              </w:rPr>
            </w:pPr>
          </w:p>
        </w:tc>
        <w:tc>
          <w:tcPr>
            <w:tcW w:w="5261" w:type="dxa"/>
            <w:vAlign w:val="center"/>
          </w:tcPr>
          <w:p>
            <w:pPr>
              <w:ind w:firstLine="0"/>
              <w:rPr>
                <w:rFonts w:ascii="仿宋_GB2312" w:eastAsia="仿宋_GB2312"/>
                <w:sz w:val="24"/>
                <w:szCs w:val="24"/>
              </w:rPr>
            </w:pPr>
            <w:r>
              <w:rPr>
                <w:rFonts w:hint="eastAsia" w:ascii="仿宋_GB2312" w:eastAsia="仿宋_GB2312"/>
                <w:sz w:val="24"/>
                <w:szCs w:val="24"/>
              </w:rPr>
              <w:t>建议《办法》加入对管理人的考核机制，由评审委员会对管理人履行职责、执业能力情况等进行个案考核和年度考核，并与管理人的分级管理挂钩。</w:t>
            </w:r>
          </w:p>
        </w:tc>
        <w:tc>
          <w:tcPr>
            <w:tcW w:w="1417" w:type="dxa"/>
            <w:vAlign w:val="center"/>
          </w:tcPr>
          <w:p>
            <w:pPr>
              <w:ind w:firstLine="0"/>
              <w:jc w:val="center"/>
              <w:rPr>
                <w:rFonts w:ascii="仿宋_GB2312" w:eastAsia="仿宋_GB2312"/>
                <w:sz w:val="24"/>
                <w:szCs w:val="24"/>
              </w:rPr>
            </w:pPr>
            <w:r>
              <w:rPr>
                <w:rFonts w:hint="eastAsia" w:ascii="仿宋_GB2312" w:eastAsia="仿宋_GB2312"/>
                <w:sz w:val="24"/>
                <w:szCs w:val="24"/>
              </w:rPr>
              <w:t>解释</w:t>
            </w:r>
          </w:p>
        </w:tc>
        <w:tc>
          <w:tcPr>
            <w:tcW w:w="2085" w:type="dxa"/>
            <w:vAlign w:val="center"/>
          </w:tcPr>
          <w:p>
            <w:pPr>
              <w:ind w:firstLine="0"/>
              <w:jc w:val="left"/>
              <w:rPr>
                <w:rFonts w:ascii="仿宋_GB2312" w:eastAsia="仿宋_GB2312"/>
                <w:sz w:val="24"/>
                <w:szCs w:val="24"/>
              </w:rPr>
            </w:pPr>
            <w:r>
              <w:rPr>
                <w:rFonts w:hint="eastAsia" w:ascii="仿宋_GB2312" w:eastAsia="仿宋_GB2312"/>
                <w:sz w:val="24"/>
                <w:szCs w:val="24"/>
              </w:rPr>
              <w:t>《名册管理办法》主要就名册编制管理作出规定；管理人考核机制后续将研究制定。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993" w:type="dxa"/>
            <w:vAlign w:val="center"/>
          </w:tcPr>
          <w:p>
            <w:pPr>
              <w:pStyle w:val="16"/>
              <w:numPr>
                <w:ilvl w:val="0"/>
                <w:numId w:val="1"/>
              </w:numPr>
              <w:ind w:firstLineChars="0"/>
              <w:jc w:val="center"/>
              <w:rPr>
                <w:rFonts w:ascii="仿宋_GB2312" w:eastAsia="仿宋_GB2312"/>
                <w:sz w:val="24"/>
                <w:szCs w:val="24"/>
              </w:rPr>
            </w:pPr>
          </w:p>
        </w:tc>
        <w:tc>
          <w:tcPr>
            <w:tcW w:w="5261" w:type="dxa"/>
            <w:vAlign w:val="center"/>
          </w:tcPr>
          <w:p>
            <w:pPr>
              <w:ind w:firstLine="0"/>
              <w:rPr>
                <w:rFonts w:ascii="仿宋_GB2312" w:eastAsia="仿宋_GB2312"/>
                <w:sz w:val="24"/>
                <w:szCs w:val="24"/>
              </w:rPr>
            </w:pPr>
            <w:r>
              <w:rPr>
                <w:rFonts w:hint="eastAsia" w:ascii="仿宋_GB2312" w:eastAsia="仿宋_GB2312"/>
                <w:sz w:val="24"/>
                <w:szCs w:val="24"/>
              </w:rPr>
              <w:t>建议《办法》加入“管理人变更”相关条款，如因不可控因素导致管理人变更，涉及到管理人重新指定及工作交接等程序时，可有章可依、有例可循。</w:t>
            </w:r>
          </w:p>
        </w:tc>
        <w:tc>
          <w:tcPr>
            <w:tcW w:w="1417" w:type="dxa"/>
            <w:vAlign w:val="center"/>
          </w:tcPr>
          <w:p>
            <w:pPr>
              <w:ind w:firstLine="0"/>
              <w:jc w:val="center"/>
              <w:rPr>
                <w:rFonts w:ascii="仿宋_GB2312" w:eastAsia="仿宋_GB2312"/>
                <w:sz w:val="24"/>
                <w:szCs w:val="24"/>
              </w:rPr>
            </w:pPr>
            <w:r>
              <w:rPr>
                <w:rFonts w:hint="eastAsia" w:ascii="仿宋_GB2312" w:eastAsia="仿宋_GB2312"/>
                <w:sz w:val="24"/>
                <w:szCs w:val="24"/>
              </w:rPr>
              <w:t>解释</w:t>
            </w:r>
          </w:p>
        </w:tc>
        <w:tc>
          <w:tcPr>
            <w:tcW w:w="2085" w:type="dxa"/>
            <w:vAlign w:val="center"/>
          </w:tcPr>
          <w:p>
            <w:pPr>
              <w:ind w:firstLine="0"/>
              <w:jc w:val="left"/>
              <w:rPr>
                <w:rFonts w:ascii="仿宋_GB2312" w:eastAsia="仿宋_GB2312"/>
                <w:sz w:val="24"/>
                <w:szCs w:val="24"/>
              </w:rPr>
            </w:pPr>
            <w:r>
              <w:rPr>
                <w:rFonts w:hint="eastAsia" w:ascii="仿宋_GB2312" w:eastAsia="仿宋_GB2312"/>
                <w:sz w:val="24"/>
                <w:szCs w:val="24"/>
              </w:rPr>
              <w:t>《名册管理办法》主要就名册编制管理作出规定；管理人变更机制后续将研究制定。</w:t>
            </w:r>
          </w:p>
        </w:tc>
      </w:tr>
    </w:tbl>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263277"/>
    <w:multiLevelType w:val="multilevel"/>
    <w:tmpl w:val="5E26327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DF5"/>
    <w:rsid w:val="00000FEB"/>
    <w:rsid w:val="000049C0"/>
    <w:rsid w:val="00012920"/>
    <w:rsid w:val="000233BC"/>
    <w:rsid w:val="0002457E"/>
    <w:rsid w:val="00026F46"/>
    <w:rsid w:val="00036C38"/>
    <w:rsid w:val="00037A06"/>
    <w:rsid w:val="00045656"/>
    <w:rsid w:val="000509A6"/>
    <w:rsid w:val="00051F0D"/>
    <w:rsid w:val="00067226"/>
    <w:rsid w:val="00070ABF"/>
    <w:rsid w:val="00073675"/>
    <w:rsid w:val="00074B09"/>
    <w:rsid w:val="00096786"/>
    <w:rsid w:val="00096A30"/>
    <w:rsid w:val="000C29F0"/>
    <w:rsid w:val="000D3156"/>
    <w:rsid w:val="000D7406"/>
    <w:rsid w:val="000D7E00"/>
    <w:rsid w:val="000E2036"/>
    <w:rsid w:val="000F0DF5"/>
    <w:rsid w:val="00111452"/>
    <w:rsid w:val="00127C63"/>
    <w:rsid w:val="00145FFB"/>
    <w:rsid w:val="00177C39"/>
    <w:rsid w:val="00180A54"/>
    <w:rsid w:val="00181B4B"/>
    <w:rsid w:val="001865C8"/>
    <w:rsid w:val="00191640"/>
    <w:rsid w:val="001A6319"/>
    <w:rsid w:val="001B4240"/>
    <w:rsid w:val="001C05DF"/>
    <w:rsid w:val="001D1D62"/>
    <w:rsid w:val="001E351A"/>
    <w:rsid w:val="00200DC8"/>
    <w:rsid w:val="0021759D"/>
    <w:rsid w:val="002258CA"/>
    <w:rsid w:val="002306BC"/>
    <w:rsid w:val="002328E1"/>
    <w:rsid w:val="0025703E"/>
    <w:rsid w:val="002646AB"/>
    <w:rsid w:val="002845CF"/>
    <w:rsid w:val="0029397A"/>
    <w:rsid w:val="0029441A"/>
    <w:rsid w:val="002A7B6C"/>
    <w:rsid w:val="002B12E6"/>
    <w:rsid w:val="002B5502"/>
    <w:rsid w:val="002D16ED"/>
    <w:rsid w:val="002E1BC7"/>
    <w:rsid w:val="002E3245"/>
    <w:rsid w:val="002E7922"/>
    <w:rsid w:val="002E79F4"/>
    <w:rsid w:val="002E7B04"/>
    <w:rsid w:val="003101A4"/>
    <w:rsid w:val="00320E57"/>
    <w:rsid w:val="003216AB"/>
    <w:rsid w:val="00322BD7"/>
    <w:rsid w:val="0032593E"/>
    <w:rsid w:val="00332E1B"/>
    <w:rsid w:val="003553BE"/>
    <w:rsid w:val="0035741A"/>
    <w:rsid w:val="003926ED"/>
    <w:rsid w:val="003B0C74"/>
    <w:rsid w:val="003C7230"/>
    <w:rsid w:val="003D5362"/>
    <w:rsid w:val="003F0D7E"/>
    <w:rsid w:val="003F7D13"/>
    <w:rsid w:val="00402158"/>
    <w:rsid w:val="00404221"/>
    <w:rsid w:val="004061CB"/>
    <w:rsid w:val="00433D4F"/>
    <w:rsid w:val="00444C1E"/>
    <w:rsid w:val="00446930"/>
    <w:rsid w:val="00452AB6"/>
    <w:rsid w:val="00461F30"/>
    <w:rsid w:val="004850F8"/>
    <w:rsid w:val="00490D14"/>
    <w:rsid w:val="004A3602"/>
    <w:rsid w:val="004B13B9"/>
    <w:rsid w:val="004D2A4F"/>
    <w:rsid w:val="004E7CE1"/>
    <w:rsid w:val="00541137"/>
    <w:rsid w:val="0055343E"/>
    <w:rsid w:val="00553587"/>
    <w:rsid w:val="00561A02"/>
    <w:rsid w:val="0058418C"/>
    <w:rsid w:val="00591641"/>
    <w:rsid w:val="00593608"/>
    <w:rsid w:val="005A7AFF"/>
    <w:rsid w:val="005B65AE"/>
    <w:rsid w:val="005C694F"/>
    <w:rsid w:val="005D4E2F"/>
    <w:rsid w:val="005D5DC6"/>
    <w:rsid w:val="005E2F41"/>
    <w:rsid w:val="005F19C8"/>
    <w:rsid w:val="005F71A1"/>
    <w:rsid w:val="00607DC4"/>
    <w:rsid w:val="006152D5"/>
    <w:rsid w:val="00621E37"/>
    <w:rsid w:val="0062788A"/>
    <w:rsid w:val="00642F5F"/>
    <w:rsid w:val="006436B7"/>
    <w:rsid w:val="006550B8"/>
    <w:rsid w:val="00674B76"/>
    <w:rsid w:val="0067691C"/>
    <w:rsid w:val="0069161D"/>
    <w:rsid w:val="00692D11"/>
    <w:rsid w:val="00695874"/>
    <w:rsid w:val="006B6DF1"/>
    <w:rsid w:val="00717B9E"/>
    <w:rsid w:val="00742A08"/>
    <w:rsid w:val="00762732"/>
    <w:rsid w:val="00763F0B"/>
    <w:rsid w:val="00767664"/>
    <w:rsid w:val="00786391"/>
    <w:rsid w:val="007B0F67"/>
    <w:rsid w:val="007D4182"/>
    <w:rsid w:val="007D741A"/>
    <w:rsid w:val="007D76F7"/>
    <w:rsid w:val="007E2ACF"/>
    <w:rsid w:val="007F184D"/>
    <w:rsid w:val="007F49C2"/>
    <w:rsid w:val="0080592E"/>
    <w:rsid w:val="00805AF5"/>
    <w:rsid w:val="00811BBD"/>
    <w:rsid w:val="00813FF3"/>
    <w:rsid w:val="00821E27"/>
    <w:rsid w:val="00822777"/>
    <w:rsid w:val="00826144"/>
    <w:rsid w:val="00827E67"/>
    <w:rsid w:val="008322B1"/>
    <w:rsid w:val="008327D0"/>
    <w:rsid w:val="0084068C"/>
    <w:rsid w:val="00870DA3"/>
    <w:rsid w:val="00875C0E"/>
    <w:rsid w:val="00897F08"/>
    <w:rsid w:val="008B1D4D"/>
    <w:rsid w:val="008C28C8"/>
    <w:rsid w:val="008C2FCD"/>
    <w:rsid w:val="008D3DA2"/>
    <w:rsid w:val="008E7FDA"/>
    <w:rsid w:val="008F5C92"/>
    <w:rsid w:val="008F6CB6"/>
    <w:rsid w:val="00915209"/>
    <w:rsid w:val="00934372"/>
    <w:rsid w:val="0094758F"/>
    <w:rsid w:val="00950FA8"/>
    <w:rsid w:val="00960462"/>
    <w:rsid w:val="00961DBC"/>
    <w:rsid w:val="009719A3"/>
    <w:rsid w:val="00976182"/>
    <w:rsid w:val="0098055D"/>
    <w:rsid w:val="009819D7"/>
    <w:rsid w:val="00983B9C"/>
    <w:rsid w:val="0099150D"/>
    <w:rsid w:val="009927A9"/>
    <w:rsid w:val="009A33F8"/>
    <w:rsid w:val="009A3805"/>
    <w:rsid w:val="009A51F8"/>
    <w:rsid w:val="009C5527"/>
    <w:rsid w:val="009D2257"/>
    <w:rsid w:val="009D3C4E"/>
    <w:rsid w:val="009E2454"/>
    <w:rsid w:val="009E5806"/>
    <w:rsid w:val="009E68D2"/>
    <w:rsid w:val="009E7427"/>
    <w:rsid w:val="009F51CE"/>
    <w:rsid w:val="00A105BD"/>
    <w:rsid w:val="00A12E45"/>
    <w:rsid w:val="00A13C81"/>
    <w:rsid w:val="00A259C8"/>
    <w:rsid w:val="00A35A44"/>
    <w:rsid w:val="00A4239A"/>
    <w:rsid w:val="00A443AF"/>
    <w:rsid w:val="00A46A18"/>
    <w:rsid w:val="00A5111C"/>
    <w:rsid w:val="00A676B1"/>
    <w:rsid w:val="00A807B4"/>
    <w:rsid w:val="00A8260E"/>
    <w:rsid w:val="00A963C2"/>
    <w:rsid w:val="00AA624D"/>
    <w:rsid w:val="00AB0B30"/>
    <w:rsid w:val="00AC5853"/>
    <w:rsid w:val="00AD228E"/>
    <w:rsid w:val="00B05A6E"/>
    <w:rsid w:val="00B16F0A"/>
    <w:rsid w:val="00B3324F"/>
    <w:rsid w:val="00B423C3"/>
    <w:rsid w:val="00B65C09"/>
    <w:rsid w:val="00B66E16"/>
    <w:rsid w:val="00B707A3"/>
    <w:rsid w:val="00B813CF"/>
    <w:rsid w:val="00B85E17"/>
    <w:rsid w:val="00B96736"/>
    <w:rsid w:val="00B97D89"/>
    <w:rsid w:val="00BA081F"/>
    <w:rsid w:val="00BA12E7"/>
    <w:rsid w:val="00BA2F68"/>
    <w:rsid w:val="00BA4CA0"/>
    <w:rsid w:val="00BC1983"/>
    <w:rsid w:val="00BF26E7"/>
    <w:rsid w:val="00BF57CD"/>
    <w:rsid w:val="00C10E97"/>
    <w:rsid w:val="00C371BF"/>
    <w:rsid w:val="00C514E3"/>
    <w:rsid w:val="00C560C4"/>
    <w:rsid w:val="00C64824"/>
    <w:rsid w:val="00C774FD"/>
    <w:rsid w:val="00C846BC"/>
    <w:rsid w:val="00C86DD1"/>
    <w:rsid w:val="00CB0395"/>
    <w:rsid w:val="00CB29DA"/>
    <w:rsid w:val="00CC2449"/>
    <w:rsid w:val="00CE508A"/>
    <w:rsid w:val="00CF718E"/>
    <w:rsid w:val="00D0235A"/>
    <w:rsid w:val="00D0237E"/>
    <w:rsid w:val="00D04446"/>
    <w:rsid w:val="00D0780C"/>
    <w:rsid w:val="00D1044A"/>
    <w:rsid w:val="00D17FFD"/>
    <w:rsid w:val="00D27FE7"/>
    <w:rsid w:val="00D46DC6"/>
    <w:rsid w:val="00D47FC2"/>
    <w:rsid w:val="00D56A66"/>
    <w:rsid w:val="00D56DC3"/>
    <w:rsid w:val="00D60FA9"/>
    <w:rsid w:val="00D61639"/>
    <w:rsid w:val="00D72931"/>
    <w:rsid w:val="00D73368"/>
    <w:rsid w:val="00D84601"/>
    <w:rsid w:val="00D855CD"/>
    <w:rsid w:val="00D9134C"/>
    <w:rsid w:val="00DA1530"/>
    <w:rsid w:val="00DB267C"/>
    <w:rsid w:val="00DB43A4"/>
    <w:rsid w:val="00DB7095"/>
    <w:rsid w:val="00DC3368"/>
    <w:rsid w:val="00DE15EC"/>
    <w:rsid w:val="00DE76A5"/>
    <w:rsid w:val="00DF4841"/>
    <w:rsid w:val="00E0365C"/>
    <w:rsid w:val="00E106ED"/>
    <w:rsid w:val="00E10BD3"/>
    <w:rsid w:val="00E12322"/>
    <w:rsid w:val="00E157E8"/>
    <w:rsid w:val="00E21502"/>
    <w:rsid w:val="00E24195"/>
    <w:rsid w:val="00E414BF"/>
    <w:rsid w:val="00E5060C"/>
    <w:rsid w:val="00E5558A"/>
    <w:rsid w:val="00E561D7"/>
    <w:rsid w:val="00E57B12"/>
    <w:rsid w:val="00E74C89"/>
    <w:rsid w:val="00E8239A"/>
    <w:rsid w:val="00E91A5B"/>
    <w:rsid w:val="00EA221C"/>
    <w:rsid w:val="00EA2B27"/>
    <w:rsid w:val="00EC15C3"/>
    <w:rsid w:val="00EC2D19"/>
    <w:rsid w:val="00EC6A02"/>
    <w:rsid w:val="00EC74EB"/>
    <w:rsid w:val="00ED21BF"/>
    <w:rsid w:val="00ED47F5"/>
    <w:rsid w:val="00EF707B"/>
    <w:rsid w:val="00F052FE"/>
    <w:rsid w:val="00F15E06"/>
    <w:rsid w:val="00F16507"/>
    <w:rsid w:val="00F474EF"/>
    <w:rsid w:val="00F61CF1"/>
    <w:rsid w:val="00F62A24"/>
    <w:rsid w:val="00FC36F0"/>
    <w:rsid w:val="00FC4274"/>
    <w:rsid w:val="00FC50D8"/>
    <w:rsid w:val="00FF5A4C"/>
    <w:rsid w:val="069F1151"/>
    <w:rsid w:val="06D950EC"/>
    <w:rsid w:val="0D236CF1"/>
    <w:rsid w:val="0F464BD5"/>
    <w:rsid w:val="163C7E35"/>
    <w:rsid w:val="18A96B3D"/>
    <w:rsid w:val="1A0877E5"/>
    <w:rsid w:val="1B6054F4"/>
    <w:rsid w:val="2C5E4C85"/>
    <w:rsid w:val="30D80FB0"/>
    <w:rsid w:val="4E7B1D71"/>
    <w:rsid w:val="5084478B"/>
    <w:rsid w:val="68B837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21"/>
    <w:qFormat/>
    <w:uiPriority w:val="9"/>
    <w:pPr>
      <w:widowControl/>
      <w:spacing w:before="100" w:beforeAutospacing="1" w:after="100" w:afterAutospacing="1"/>
      <w:ind w:firstLine="0"/>
      <w:jc w:val="left"/>
      <w:outlineLvl w:val="2"/>
    </w:pPr>
    <w:rPr>
      <w:rFonts w:ascii="宋体" w:hAnsi="宋体" w:eastAsia="宋体" w:cs="宋体"/>
      <w:b/>
      <w:bCs/>
      <w:kern w:val="0"/>
      <w:sz w:val="27"/>
      <w:szCs w:val="27"/>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2"/>
    <w:semiHidden/>
    <w:unhideWhenUsed/>
    <w:qFormat/>
    <w:uiPriority w:val="99"/>
    <w:rPr>
      <w:rFonts w:ascii="宋体" w:eastAsia="宋体"/>
      <w:sz w:val="18"/>
      <w:szCs w:val="18"/>
    </w:rPr>
  </w:style>
  <w:style w:type="paragraph" w:styleId="4">
    <w:name w:val="Body Text"/>
    <w:basedOn w:val="1"/>
    <w:link w:val="20"/>
    <w:semiHidden/>
    <w:unhideWhenUsed/>
    <w:qFormat/>
    <w:uiPriority w:val="99"/>
    <w:pPr>
      <w:spacing w:after="120"/>
    </w:pPr>
  </w:style>
  <w:style w:type="paragraph" w:styleId="5">
    <w:name w:val="Balloon Text"/>
    <w:basedOn w:val="1"/>
    <w:link w:val="24"/>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ind w:firstLine="0"/>
      <w:jc w:val="left"/>
    </w:pPr>
    <w:rPr>
      <w:rFonts w:ascii="宋体" w:hAnsi="宋体" w:eastAsia="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rPr>
  </w:style>
  <w:style w:type="character" w:styleId="13">
    <w:name w:val="Emphasis"/>
    <w:basedOn w:val="11"/>
    <w:qFormat/>
    <w:uiPriority w:val="20"/>
    <w:rPr>
      <w:i/>
      <w:iCs/>
    </w:rPr>
  </w:style>
  <w:style w:type="character" w:styleId="14">
    <w:name w:val="Hyperlink"/>
    <w:basedOn w:val="11"/>
    <w:unhideWhenUsed/>
    <w:qFormat/>
    <w:uiPriority w:val="99"/>
    <w:rPr>
      <w:color w:val="0000FF"/>
      <w:u w:val="single"/>
    </w:rPr>
  </w:style>
  <w:style w:type="character" w:customStyle="1" w:styleId="15">
    <w:name w:val="span-content"/>
    <w:basedOn w:val="11"/>
    <w:qFormat/>
    <w:uiPriority w:val="0"/>
  </w:style>
  <w:style w:type="paragraph" w:styleId="16">
    <w:name w:val="List Paragraph"/>
    <w:basedOn w:val="1"/>
    <w:qFormat/>
    <w:uiPriority w:val="34"/>
    <w:pPr>
      <w:ind w:firstLine="200" w:firstLineChars="200"/>
    </w:pPr>
  </w:style>
  <w:style w:type="character" w:customStyle="1" w:styleId="17">
    <w:name w:val="页眉 Char"/>
    <w:basedOn w:val="11"/>
    <w:link w:val="7"/>
    <w:qFormat/>
    <w:uiPriority w:val="99"/>
    <w:rPr>
      <w:sz w:val="18"/>
      <w:szCs w:val="18"/>
    </w:rPr>
  </w:style>
  <w:style w:type="character" w:customStyle="1" w:styleId="18">
    <w:name w:val="页脚 Char"/>
    <w:basedOn w:val="11"/>
    <w:link w:val="6"/>
    <w:qFormat/>
    <w:uiPriority w:val="99"/>
    <w:rPr>
      <w:sz w:val="18"/>
      <w:szCs w:val="18"/>
    </w:rPr>
  </w:style>
  <w:style w:type="paragraph" w:customStyle="1" w:styleId="19">
    <w:name w:val="_Style 11"/>
    <w:basedOn w:val="4"/>
    <w:next w:val="1"/>
    <w:qFormat/>
    <w:uiPriority w:val="0"/>
    <w:pPr>
      <w:tabs>
        <w:tab w:val="left" w:pos="562"/>
        <w:tab w:val="left" w:pos="3372"/>
        <w:tab w:val="left" w:pos="3653"/>
      </w:tabs>
      <w:spacing w:after="0"/>
      <w:ind w:firstLine="100" w:firstLineChars="100"/>
    </w:pPr>
    <w:rPr>
      <w:rFonts w:ascii="Times New Roman" w:hAnsi="Times New Roman" w:eastAsia="宋体" w:cs="Times New Roman"/>
      <w:sz w:val="24"/>
    </w:rPr>
  </w:style>
  <w:style w:type="character" w:customStyle="1" w:styleId="20">
    <w:name w:val="正文文本 Char"/>
    <w:basedOn w:val="11"/>
    <w:link w:val="4"/>
    <w:semiHidden/>
    <w:qFormat/>
    <w:uiPriority w:val="99"/>
  </w:style>
  <w:style w:type="character" w:customStyle="1" w:styleId="21">
    <w:name w:val="标题 3 Char"/>
    <w:basedOn w:val="11"/>
    <w:link w:val="2"/>
    <w:qFormat/>
    <w:uiPriority w:val="9"/>
    <w:rPr>
      <w:rFonts w:ascii="宋体" w:hAnsi="宋体" w:eastAsia="宋体" w:cs="宋体"/>
      <w:b/>
      <w:bCs/>
      <w:kern w:val="0"/>
      <w:sz w:val="27"/>
      <w:szCs w:val="27"/>
    </w:rPr>
  </w:style>
  <w:style w:type="character" w:customStyle="1" w:styleId="22">
    <w:name w:val="文档结构图 Char"/>
    <w:basedOn w:val="11"/>
    <w:link w:val="3"/>
    <w:semiHidden/>
    <w:qFormat/>
    <w:uiPriority w:val="99"/>
    <w:rPr>
      <w:rFonts w:ascii="宋体" w:eastAsia="宋体"/>
      <w:sz w:val="18"/>
      <w:szCs w:val="18"/>
    </w:r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4">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8C37B7-A1FD-4E6A-8080-C78118BB6F74}">
  <ds:schemaRefs/>
</ds:datastoreItem>
</file>

<file path=docProps/app.xml><?xml version="1.0" encoding="utf-8"?>
<Properties xmlns="http://schemas.openxmlformats.org/officeDocument/2006/extended-properties" xmlns:vt="http://schemas.openxmlformats.org/officeDocument/2006/docPropsVTypes">
  <Template>Normal</Template>
  <Company>HP</Company>
  <Pages>4</Pages>
  <Words>384</Words>
  <Characters>2194</Characters>
  <Lines>18</Lines>
  <Paragraphs>5</Paragraphs>
  <TotalTime>988</TotalTime>
  <ScaleCrop>false</ScaleCrop>
  <LinksUpToDate>false</LinksUpToDate>
  <CharactersWithSpaces>2573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2022-01-25T02:50:00Z</dcterms:created>
  <dc:creator>黄 晓敏</dc:creator>
  <cp:lastModifiedBy>阿营</cp:lastModifiedBy>
  <dcterms:modified xsi:type="dcterms:W3CDTF">2022-01-27T09:45:18Z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436FEC5346ED4C5E9603A70C109BEC3D</vt:lpwstr>
  </property>
</Properties>
</file>