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9AEF41">
      <w:pPr>
        <w:pStyle w:val="2"/>
        <w:ind w:firstLine="0" w:firstLineChars="0"/>
        <w:rPr>
          <w:rFonts w:ascii="黑体" w:hAnsi="黑体" w:eastAsia="黑体"/>
          <w:sz w:val="32"/>
          <w:szCs w:val="32"/>
        </w:rPr>
      </w:pPr>
      <w:r>
        <w:rPr>
          <w:rFonts w:hint="eastAsia" w:ascii="黑体" w:hAnsi="黑体" w:eastAsia="黑体"/>
          <w:sz w:val="32"/>
          <w:szCs w:val="32"/>
        </w:rPr>
        <w:t>附件</w:t>
      </w:r>
    </w:p>
    <w:p w14:paraId="09D9EB95">
      <w:pPr>
        <w:pStyle w:val="2"/>
        <w:ind w:firstLine="199" w:firstLineChars="95"/>
        <w:rPr>
          <w:rFonts w:hint="eastAsia"/>
        </w:rPr>
      </w:pPr>
    </w:p>
    <w:p w14:paraId="7F313AAE">
      <w:pPr>
        <w:spacing w:line="578" w:lineRule="exact"/>
        <w:ind w:firstLine="0"/>
        <w:jc w:val="center"/>
        <w:rPr>
          <w:rFonts w:ascii="方正小标宋简体" w:hAnsi="方正小标宋简体" w:eastAsia="方正小标宋简体"/>
          <w:kern w:val="0"/>
          <w:sz w:val="44"/>
          <w:szCs w:val="44"/>
        </w:rPr>
      </w:pPr>
      <w:bookmarkStart w:id="0" w:name="OLE_LINK5"/>
      <w:bookmarkStart w:id="1" w:name="OLE_LINK6"/>
      <w:r>
        <w:rPr>
          <w:rFonts w:hint="eastAsia" w:ascii="方正小标宋简体" w:hAnsi="方正小标宋简体" w:eastAsia="方正小标宋简体"/>
          <w:kern w:val="0"/>
          <w:sz w:val="44"/>
          <w:szCs w:val="44"/>
        </w:rPr>
        <w:t>《深圳市个人破产信息登记与公示办法（征求意见稿）》</w:t>
      </w:r>
      <w:bookmarkEnd w:id="0"/>
      <w:bookmarkEnd w:id="1"/>
    </w:p>
    <w:p w14:paraId="34CCDED6">
      <w:pPr>
        <w:spacing w:after="156" w:afterLines="50" w:line="578" w:lineRule="exact"/>
        <w:ind w:firstLine="0"/>
        <w:jc w:val="center"/>
        <w:rPr>
          <w:rFonts w:hint="eastAsia" w:ascii="方正小标宋简体" w:hAnsi="方正小标宋简体" w:eastAsia="方正小标宋简体"/>
          <w:kern w:val="0"/>
          <w:sz w:val="44"/>
          <w:szCs w:val="44"/>
        </w:rPr>
      </w:pPr>
      <w:r>
        <w:rPr>
          <w:rFonts w:hint="eastAsia" w:ascii="方正小标宋简体" w:hAnsi="宋体" w:eastAsia="方正小标宋简体" w:cs="宋体"/>
          <w:bCs/>
          <w:sz w:val="44"/>
          <w:szCs w:val="44"/>
        </w:rPr>
        <w:t>意见采纳情况</w:t>
      </w:r>
      <w:r>
        <w:rPr>
          <w:rFonts w:hint="eastAsia" w:ascii="方正小标宋简体" w:hAnsi="宋体" w:eastAsia="方正小标宋简体" w:cs="宋体"/>
          <w:bCs/>
          <w:sz w:val="44"/>
          <w:szCs w:val="44"/>
          <w:lang w:val="en-US" w:eastAsia="zh-CN"/>
        </w:rPr>
        <w:t>汇总</w:t>
      </w:r>
      <w:bookmarkStart w:id="14" w:name="_GoBack"/>
      <w:bookmarkEnd w:id="14"/>
      <w:r>
        <w:rPr>
          <w:rFonts w:hint="eastAsia" w:ascii="方正小标宋简体" w:hAnsi="宋体" w:eastAsia="方正小标宋简体" w:cs="宋体"/>
          <w:bCs/>
          <w:sz w:val="44"/>
          <w:szCs w:val="44"/>
        </w:rPr>
        <w:t>表</w:t>
      </w:r>
    </w:p>
    <w:tbl>
      <w:tblPr>
        <w:tblStyle w:val="4"/>
        <w:tblW w:w="534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72"/>
        <w:gridCol w:w="6835"/>
        <w:gridCol w:w="1566"/>
        <w:gridCol w:w="4085"/>
      </w:tblGrid>
      <w:tr w14:paraId="73524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495" w:type="pct"/>
            <w:noWrap w:val="0"/>
            <w:vAlign w:val="center"/>
          </w:tcPr>
          <w:p w14:paraId="7ECD8D2E">
            <w:pPr>
              <w:widowControl/>
              <w:ind w:firstLine="0"/>
              <w:jc w:val="center"/>
              <w:rPr>
                <w:rFonts w:ascii="黑体" w:hAnsi="黑体" w:eastAsia="黑体" w:cs="宋体"/>
                <w:bCs/>
                <w:color w:val="000000"/>
                <w:kern w:val="0"/>
                <w:sz w:val="28"/>
                <w:szCs w:val="28"/>
              </w:rPr>
            </w:pPr>
            <w:r>
              <w:rPr>
                <w:rFonts w:hint="eastAsia" w:ascii="黑体" w:hAnsi="黑体" w:eastAsia="黑体" w:cs="宋体"/>
                <w:bCs/>
                <w:color w:val="000000"/>
                <w:kern w:val="0"/>
                <w:sz w:val="28"/>
                <w:szCs w:val="28"/>
              </w:rPr>
              <w:t>序号</w:t>
            </w:r>
          </w:p>
        </w:tc>
        <w:tc>
          <w:tcPr>
            <w:tcW w:w="2466" w:type="pct"/>
            <w:noWrap w:val="0"/>
            <w:vAlign w:val="center"/>
          </w:tcPr>
          <w:p w14:paraId="47343475">
            <w:pPr>
              <w:widowControl/>
              <w:ind w:firstLine="0"/>
              <w:jc w:val="center"/>
              <w:rPr>
                <w:rFonts w:ascii="黑体" w:hAnsi="黑体" w:eastAsia="黑体" w:cs="宋体"/>
                <w:bCs/>
                <w:color w:val="000000"/>
                <w:kern w:val="0"/>
                <w:sz w:val="28"/>
                <w:szCs w:val="28"/>
              </w:rPr>
            </w:pPr>
            <w:r>
              <w:rPr>
                <w:rFonts w:hint="eastAsia" w:ascii="黑体" w:hAnsi="黑体" w:eastAsia="黑体" w:cs="宋体"/>
                <w:bCs/>
                <w:color w:val="000000"/>
                <w:kern w:val="0"/>
                <w:sz w:val="28"/>
                <w:szCs w:val="28"/>
              </w:rPr>
              <w:t>主要意见和</w:t>
            </w:r>
            <w:r>
              <w:rPr>
                <w:rFonts w:ascii="黑体" w:hAnsi="黑体" w:eastAsia="黑体" w:cs="宋体"/>
                <w:bCs/>
                <w:color w:val="000000"/>
                <w:kern w:val="0"/>
                <w:sz w:val="28"/>
                <w:szCs w:val="28"/>
              </w:rPr>
              <w:t>建议</w:t>
            </w:r>
          </w:p>
        </w:tc>
        <w:tc>
          <w:tcPr>
            <w:tcW w:w="565" w:type="pct"/>
            <w:noWrap w:val="0"/>
            <w:vAlign w:val="center"/>
          </w:tcPr>
          <w:p w14:paraId="54D3739A">
            <w:pPr>
              <w:widowControl/>
              <w:ind w:firstLine="0"/>
              <w:jc w:val="center"/>
              <w:rPr>
                <w:rFonts w:ascii="黑体" w:hAnsi="黑体" w:eastAsia="黑体" w:cs="宋体"/>
                <w:bCs/>
                <w:color w:val="000000"/>
                <w:kern w:val="0"/>
                <w:sz w:val="28"/>
                <w:szCs w:val="28"/>
              </w:rPr>
            </w:pPr>
            <w:r>
              <w:rPr>
                <w:rFonts w:hint="eastAsia" w:ascii="黑体" w:hAnsi="黑体" w:eastAsia="黑体" w:cs="宋体"/>
                <w:bCs/>
                <w:color w:val="000000"/>
                <w:kern w:val="0"/>
                <w:sz w:val="28"/>
                <w:szCs w:val="28"/>
              </w:rPr>
              <w:t>采纳情况</w:t>
            </w:r>
          </w:p>
        </w:tc>
        <w:tc>
          <w:tcPr>
            <w:tcW w:w="1474" w:type="pct"/>
            <w:noWrap w:val="0"/>
            <w:vAlign w:val="center"/>
          </w:tcPr>
          <w:p w14:paraId="431E1D8F">
            <w:pPr>
              <w:widowControl/>
              <w:ind w:firstLine="0"/>
              <w:jc w:val="center"/>
              <w:rPr>
                <w:rFonts w:ascii="黑体" w:hAnsi="黑体" w:eastAsia="黑体" w:cs="宋体"/>
                <w:bCs/>
                <w:color w:val="000000"/>
                <w:kern w:val="0"/>
                <w:sz w:val="28"/>
                <w:szCs w:val="28"/>
              </w:rPr>
            </w:pPr>
            <w:r>
              <w:rPr>
                <w:rFonts w:hint="eastAsia" w:ascii="黑体" w:hAnsi="黑体" w:eastAsia="黑体" w:cs="宋体"/>
                <w:bCs/>
                <w:color w:val="000000"/>
                <w:kern w:val="0"/>
                <w:sz w:val="28"/>
                <w:szCs w:val="28"/>
              </w:rPr>
              <w:t>备注</w:t>
            </w:r>
          </w:p>
        </w:tc>
      </w:tr>
      <w:tr w14:paraId="5D73B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atLeast"/>
          <w:jc w:val="center"/>
        </w:trPr>
        <w:tc>
          <w:tcPr>
            <w:tcW w:w="495" w:type="pct"/>
            <w:noWrap w:val="0"/>
            <w:vAlign w:val="center"/>
          </w:tcPr>
          <w:p w14:paraId="3ED6A34D">
            <w:pPr>
              <w:widowControl/>
              <w:spacing w:line="480" w:lineRule="exact"/>
              <w:ind w:firstLine="0"/>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1</w:t>
            </w:r>
          </w:p>
        </w:tc>
        <w:tc>
          <w:tcPr>
            <w:tcW w:w="2466" w:type="pct"/>
            <w:noWrap w:val="0"/>
            <w:vAlign w:val="center"/>
          </w:tcPr>
          <w:p w14:paraId="442020B5">
            <w:pPr>
              <w:widowControl/>
              <w:spacing w:line="480" w:lineRule="exact"/>
              <w:ind w:firstLine="0"/>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第四条</w:t>
            </w:r>
            <w:bookmarkStart w:id="2" w:name="OLE_LINK1"/>
            <w:r>
              <w:rPr>
                <w:rFonts w:hint="eastAsia" w:ascii="仿宋_GB2312" w:hAnsi="宋体" w:eastAsia="仿宋_GB2312" w:cs="宋体"/>
                <w:color w:val="000000"/>
                <w:kern w:val="0"/>
                <w:sz w:val="28"/>
                <w:szCs w:val="28"/>
              </w:rPr>
              <w:t>【基本原则】市破产管理署组织登记个人破产信息，遵循依法、及时、准确、便民的原则。市破产管理署公示个人破产信息，遵循依法、公正、公平、及时的原则。修改意见：原则增加“公开”。原因：既然是公示，就必须公开，因此公开的原则必须加上。</w:t>
            </w:r>
            <w:bookmarkEnd w:id="2"/>
          </w:p>
        </w:tc>
        <w:tc>
          <w:tcPr>
            <w:tcW w:w="565" w:type="pct"/>
            <w:noWrap w:val="0"/>
            <w:vAlign w:val="center"/>
          </w:tcPr>
          <w:p w14:paraId="26C7FFCB">
            <w:pPr>
              <w:widowControl/>
              <w:spacing w:line="480" w:lineRule="exact"/>
              <w:ind w:firstLine="0"/>
              <w:jc w:val="center"/>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解释说明</w:t>
            </w:r>
          </w:p>
        </w:tc>
        <w:tc>
          <w:tcPr>
            <w:tcW w:w="1474" w:type="pct"/>
            <w:noWrap w:val="0"/>
            <w:vAlign w:val="center"/>
          </w:tcPr>
          <w:p w14:paraId="03A81B34">
            <w:pPr>
              <w:widowControl/>
              <w:spacing w:line="480" w:lineRule="exact"/>
              <w:ind w:firstLine="0"/>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信息公示已包含“公开”的含义。</w:t>
            </w:r>
          </w:p>
        </w:tc>
      </w:tr>
      <w:tr w14:paraId="4945B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jc w:val="center"/>
        </w:trPr>
        <w:tc>
          <w:tcPr>
            <w:tcW w:w="495" w:type="pct"/>
            <w:noWrap w:val="0"/>
            <w:vAlign w:val="center"/>
          </w:tcPr>
          <w:p w14:paraId="1ABD0709">
            <w:pPr>
              <w:widowControl/>
              <w:spacing w:line="480" w:lineRule="exact"/>
              <w:ind w:firstLine="0"/>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2</w:t>
            </w:r>
          </w:p>
        </w:tc>
        <w:tc>
          <w:tcPr>
            <w:tcW w:w="2466" w:type="pct"/>
            <w:noWrap w:val="0"/>
            <w:vAlign w:val="center"/>
          </w:tcPr>
          <w:p w14:paraId="2680A036">
            <w:pPr>
              <w:widowControl/>
              <w:spacing w:line="480" w:lineRule="exact"/>
              <w:ind w:firstLine="0"/>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第七条【登记方式】市破产管理署组织登记个人破产信息，可以通过信息共享、通知申报、自行申报等方式进行。修改意见：补充：登记一般采用网上申报的方式。原因：为了便民，必须明确网上申报，避免现场纸质申报方式。</w:t>
            </w:r>
          </w:p>
        </w:tc>
        <w:tc>
          <w:tcPr>
            <w:tcW w:w="565" w:type="pct"/>
            <w:noWrap w:val="0"/>
            <w:vAlign w:val="center"/>
          </w:tcPr>
          <w:p w14:paraId="7421677C">
            <w:pPr>
              <w:widowControl/>
              <w:spacing w:line="480" w:lineRule="exact"/>
              <w:ind w:firstLine="0"/>
              <w:jc w:val="center"/>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解释说明</w:t>
            </w:r>
          </w:p>
        </w:tc>
        <w:tc>
          <w:tcPr>
            <w:tcW w:w="1474" w:type="pct"/>
            <w:noWrap w:val="0"/>
            <w:vAlign w:val="center"/>
          </w:tcPr>
          <w:p w14:paraId="14955D69">
            <w:pPr>
              <w:widowControl/>
              <w:spacing w:line="480" w:lineRule="exact"/>
              <w:ind w:firstLine="0"/>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《深圳市个人破产信息登记与公示办法（征求意见稿）》（以下</w:t>
            </w:r>
            <w:r>
              <w:rPr>
                <w:rFonts w:ascii="仿宋_GB2312" w:hAnsi="宋体" w:eastAsia="仿宋_GB2312" w:cs="宋体"/>
                <w:color w:val="000000"/>
                <w:kern w:val="0"/>
                <w:sz w:val="28"/>
                <w:szCs w:val="28"/>
              </w:rPr>
              <w:t>简称《</w:t>
            </w:r>
            <w:r>
              <w:rPr>
                <w:rFonts w:hint="eastAsia" w:ascii="仿宋_GB2312" w:hAnsi="宋体" w:eastAsia="仿宋_GB2312" w:cs="宋体"/>
                <w:color w:val="000000"/>
                <w:kern w:val="0"/>
                <w:sz w:val="28"/>
                <w:szCs w:val="28"/>
              </w:rPr>
              <w:t>办法</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）规定</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各类主体通过市个人破产信息登记平台申报信息，与意见中的“网上申报”意思一致。</w:t>
            </w:r>
          </w:p>
        </w:tc>
      </w:tr>
      <w:tr w14:paraId="5C1CF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2" w:hRule="atLeast"/>
          <w:jc w:val="center"/>
        </w:trPr>
        <w:tc>
          <w:tcPr>
            <w:tcW w:w="495" w:type="pct"/>
            <w:noWrap w:val="0"/>
            <w:vAlign w:val="center"/>
          </w:tcPr>
          <w:p w14:paraId="6B54F0D3">
            <w:pPr>
              <w:widowControl/>
              <w:spacing w:line="480" w:lineRule="exact"/>
              <w:ind w:firstLine="0"/>
              <w:jc w:val="center"/>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3</w:t>
            </w:r>
          </w:p>
        </w:tc>
        <w:tc>
          <w:tcPr>
            <w:tcW w:w="2466" w:type="pct"/>
            <w:noWrap w:val="0"/>
            <w:vAlign w:val="center"/>
          </w:tcPr>
          <w:p w14:paraId="0BF3984B">
            <w:pPr>
              <w:widowControl/>
              <w:spacing w:line="480" w:lineRule="exact"/>
              <w:ind w:firstLine="0"/>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第二十二条本办法自2025年10月1日起施行。修改意见：施行时间以市人大规范性文件备案通过时间为准。原因：该办法司法局审核后，还须市人大常委会审议。</w:t>
            </w:r>
          </w:p>
        </w:tc>
        <w:tc>
          <w:tcPr>
            <w:tcW w:w="565" w:type="pct"/>
            <w:noWrap w:val="0"/>
            <w:vAlign w:val="center"/>
          </w:tcPr>
          <w:p w14:paraId="4B839401">
            <w:pPr>
              <w:widowControl/>
              <w:spacing w:line="480" w:lineRule="exact"/>
              <w:ind w:firstLine="0"/>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解释说明</w:t>
            </w:r>
          </w:p>
        </w:tc>
        <w:tc>
          <w:tcPr>
            <w:tcW w:w="1474" w:type="pct"/>
            <w:noWrap w:val="0"/>
            <w:vAlign w:val="center"/>
          </w:tcPr>
          <w:p w14:paraId="7D637403">
            <w:pPr>
              <w:widowControl/>
              <w:spacing w:line="480" w:lineRule="exact"/>
              <w:ind w:firstLine="0"/>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《办法》</w:t>
            </w:r>
            <w:r>
              <w:rPr>
                <w:rFonts w:ascii="仿宋_GB2312" w:hAnsi="宋体" w:eastAsia="仿宋_GB2312" w:cs="宋体"/>
                <w:color w:val="000000"/>
                <w:kern w:val="0"/>
                <w:sz w:val="28"/>
                <w:szCs w:val="28"/>
              </w:rPr>
              <w:t>将</w:t>
            </w:r>
            <w:r>
              <w:rPr>
                <w:rFonts w:hint="eastAsia" w:ascii="仿宋_GB2312" w:hAnsi="宋体" w:eastAsia="仿宋_GB2312" w:cs="宋体"/>
                <w:color w:val="000000"/>
                <w:kern w:val="0"/>
                <w:sz w:val="28"/>
                <w:szCs w:val="28"/>
              </w:rPr>
              <w:t>依照《深圳市行政机关规范性文件管理规定》有关规定确定具体施行时间。</w:t>
            </w:r>
          </w:p>
        </w:tc>
      </w:tr>
      <w:tr w14:paraId="4A540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jc w:val="center"/>
        </w:trPr>
        <w:tc>
          <w:tcPr>
            <w:tcW w:w="495" w:type="pct"/>
            <w:noWrap w:val="0"/>
            <w:vAlign w:val="center"/>
          </w:tcPr>
          <w:p w14:paraId="268EC1A8">
            <w:pPr>
              <w:widowControl/>
              <w:spacing w:line="480" w:lineRule="exact"/>
              <w:ind w:firstLine="0"/>
              <w:jc w:val="center"/>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4</w:t>
            </w:r>
          </w:p>
        </w:tc>
        <w:tc>
          <w:tcPr>
            <w:tcW w:w="2466" w:type="pct"/>
            <w:noWrap w:val="0"/>
            <w:vAlign w:val="center"/>
          </w:tcPr>
          <w:p w14:paraId="38BD87E3">
            <w:pPr>
              <w:widowControl/>
              <w:spacing w:line="480" w:lineRule="exact"/>
              <w:ind w:firstLine="0"/>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第二条修改意见：将意见稿第二条第二段“是指人民法院裁定确认的债务人清算考察期，以及重整计划、和解协议执行期。”修改为“包含清算考察期，以及重整计划执行期、和解协议执行期。”。修改后原文如下：第二条【基本释义】本办法所称个人破产信息，是指以电子或者其他方式记录的个人破产债务人（以下简称债务人）、个人破产债权人（以下简称债权人）、个人破产管理人（以下简称管理人）以及利害关系人等与个人破产程序有关的信息。本办法所称执行考察期，包含清算考察期，以及重整计划执行期、和解协议执行期。原因：术语定义模糊，第二条定义“执行考察期”时混淆了“清算考察期”与“重整计划、和解协议执行期”上述修改明确法律概念差异，避免执行混乱，程序适用错误（如误将重整计划纳入清算考察）。</w:t>
            </w:r>
          </w:p>
        </w:tc>
        <w:tc>
          <w:tcPr>
            <w:tcW w:w="565" w:type="pct"/>
            <w:noWrap w:val="0"/>
            <w:vAlign w:val="center"/>
          </w:tcPr>
          <w:p w14:paraId="6C7F95A2">
            <w:pPr>
              <w:widowControl/>
              <w:spacing w:line="480" w:lineRule="exact"/>
              <w:ind w:firstLine="0"/>
              <w:jc w:val="center"/>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解释说明</w:t>
            </w:r>
          </w:p>
        </w:tc>
        <w:tc>
          <w:tcPr>
            <w:tcW w:w="1474" w:type="pct"/>
            <w:noWrap w:val="0"/>
            <w:vAlign w:val="center"/>
          </w:tcPr>
          <w:p w14:paraId="6670DE1A">
            <w:pPr>
              <w:widowControl/>
              <w:spacing w:line="480" w:lineRule="exact"/>
              <w:ind w:firstLine="0"/>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《办法》第二条为定义性条款，使用现有表述更为适宜，也涵盖了“包含”的意思。</w:t>
            </w:r>
          </w:p>
        </w:tc>
      </w:tr>
      <w:tr w14:paraId="27DCF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jc w:val="center"/>
        </w:trPr>
        <w:tc>
          <w:tcPr>
            <w:tcW w:w="495" w:type="pct"/>
            <w:noWrap w:val="0"/>
            <w:vAlign w:val="center"/>
          </w:tcPr>
          <w:p w14:paraId="17ADC1AE">
            <w:pPr>
              <w:widowControl/>
              <w:spacing w:line="480" w:lineRule="exact"/>
              <w:ind w:firstLine="0"/>
              <w:jc w:val="center"/>
              <w:rPr>
                <w:rFonts w:hint="eastAsia" w:ascii="仿宋_GB2312" w:hAnsi="宋体" w:eastAsia="仿宋_GB2312" w:cs="宋体"/>
                <w:color w:val="000000"/>
                <w:kern w:val="0"/>
                <w:sz w:val="28"/>
                <w:szCs w:val="28"/>
              </w:rPr>
            </w:pPr>
            <w:bookmarkStart w:id="3" w:name="_Hlk204681527"/>
            <w:bookmarkStart w:id="4" w:name="OLE_LINK2" w:colFirst="3" w:colLast="67"/>
            <w:bookmarkStart w:id="5" w:name="OLE_LINK3" w:colFirst="3" w:colLast="67"/>
            <w:r>
              <w:rPr>
                <w:rFonts w:hint="eastAsia" w:ascii="仿宋_GB2312" w:hAnsi="宋体" w:eastAsia="仿宋_GB2312" w:cs="宋体"/>
                <w:color w:val="000000"/>
                <w:kern w:val="0"/>
                <w:sz w:val="28"/>
                <w:szCs w:val="28"/>
              </w:rPr>
              <w:t>5</w:t>
            </w:r>
          </w:p>
        </w:tc>
        <w:tc>
          <w:tcPr>
            <w:tcW w:w="2466" w:type="pct"/>
            <w:noWrap w:val="0"/>
            <w:vAlign w:val="center"/>
          </w:tcPr>
          <w:p w14:paraId="3E05A235">
            <w:pPr>
              <w:widowControl/>
              <w:spacing w:line="480" w:lineRule="exact"/>
              <w:ind w:firstLine="0"/>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第十三条修改意见：将意见稿第十三条（五）“在执行考察期，于每年6月、12月申报清算债务人的财产接管情况、破产财产分配方案执行情况”修改为“管理人监督债务人申报信息，对异常数据补充申报”。修改后原文如下：第十三条【管理人申报】人民法院裁定受理破产申请后，管理人按照下列要求通过市个人破产信息登记平台申报信息：（一）自收到人民法院指定管理人决定书后十日内，申报团队负责人和联系人的姓名、联系方式和办公地址；（二）自人民法院裁定终结破产程序后十日内，申报个人破产案件有关债权申报、审查和确认信息；（三）自人民法院确定管理人执行职务有关费用、报酬后十日内，申报人民法院确定有关费用、报酬的具体情况；（四）按照市破产管理署有关规定或者通知，申报管理人账户开立信息以及收取执行职务有关费用、报酬的情况；（五）管理人监督债务人申报信息，对异常数据补充申报；（六）自重整计划执行完毕后一个月内，申报债务人执行重整计划的整体情况；自考察期届满后一个月内，申报清算债务人是否存在不得免除债务的情形并按规定征求意见；（七）市破产管理署认为应当申报的其他信息。原因：信息申报义务重复，意见稿第十一条要求债务人每月申报收入、支出；意见稿第十三条又要求管理人每半年申报财产接管情况。重复申报增加债务人负担，与管理人监督职责重叠。上述修改管理人监督职责与债务人申报义务分离，落实《深圳经济特区个人破产条例》第九十九条、第一百六十一条管理人监督职责，降低重复申报率，减少行政成本。</w:t>
            </w:r>
          </w:p>
        </w:tc>
        <w:tc>
          <w:tcPr>
            <w:tcW w:w="565" w:type="pct"/>
            <w:noWrap w:val="0"/>
            <w:vAlign w:val="center"/>
          </w:tcPr>
          <w:p w14:paraId="32149F9F">
            <w:pPr>
              <w:widowControl/>
              <w:spacing w:line="480" w:lineRule="exact"/>
              <w:ind w:firstLine="0"/>
              <w:jc w:val="center"/>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未采纳</w:t>
            </w:r>
          </w:p>
        </w:tc>
        <w:tc>
          <w:tcPr>
            <w:tcW w:w="1474" w:type="pct"/>
            <w:noWrap w:val="0"/>
            <w:vAlign w:val="center"/>
          </w:tcPr>
          <w:p w14:paraId="19722AC0">
            <w:pPr>
              <w:widowControl/>
              <w:spacing w:line="480" w:lineRule="exact"/>
              <w:ind w:firstLine="0"/>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依照《深圳经济特区个人破产条例》（以下</w:t>
            </w:r>
            <w:r>
              <w:rPr>
                <w:rFonts w:ascii="仿宋_GB2312" w:hAnsi="宋体" w:eastAsia="仿宋_GB2312" w:cs="宋体"/>
                <w:color w:val="000000"/>
                <w:kern w:val="0"/>
                <w:sz w:val="28"/>
                <w:szCs w:val="28"/>
              </w:rPr>
              <w:t>简称</w:t>
            </w:r>
            <w:bookmarkStart w:id="6" w:name="OLE_LINK9"/>
            <w:bookmarkStart w:id="7" w:name="OLE_LINK10"/>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个破</w:t>
            </w:r>
            <w:r>
              <w:rPr>
                <w:rFonts w:ascii="仿宋_GB2312" w:hAnsi="宋体" w:eastAsia="仿宋_GB2312" w:cs="宋体"/>
                <w:color w:val="000000"/>
                <w:kern w:val="0"/>
                <w:sz w:val="28"/>
                <w:szCs w:val="28"/>
              </w:rPr>
              <w:t>条例》</w:t>
            </w:r>
            <w:bookmarkEnd w:id="6"/>
            <w:bookmarkEnd w:id="7"/>
            <w:r>
              <w:rPr>
                <w:rFonts w:hint="eastAsia" w:ascii="仿宋_GB2312" w:hAnsi="宋体" w:eastAsia="仿宋_GB2312" w:cs="宋体"/>
                <w:color w:val="000000"/>
                <w:kern w:val="0"/>
                <w:sz w:val="28"/>
                <w:szCs w:val="28"/>
              </w:rPr>
              <w:t>）相关规定，债务人在考察期内应当申报个人收入、支出和财产状况等信息。管理人负责执行破产财产分配方案，按照破产财产分配方案对债务人新增或新发现的破产财产进行接管和分配</w:t>
            </w:r>
            <w:r>
              <w:rPr>
                <w:rFonts w:ascii="仿宋_GB2312" w:hAnsi="宋体" w:eastAsia="仿宋_GB2312" w:cs="宋体"/>
                <w:color w:val="000000"/>
                <w:kern w:val="0"/>
                <w:sz w:val="28"/>
                <w:szCs w:val="28"/>
              </w:rPr>
              <w:t>。</w:t>
            </w:r>
          </w:p>
          <w:p w14:paraId="69A58E2F">
            <w:pPr>
              <w:widowControl/>
              <w:spacing w:line="480" w:lineRule="exact"/>
              <w:ind w:firstLine="0"/>
              <w:rPr>
                <w:rFonts w:hint="eastAsia" w:ascii="仿宋_GB2312" w:hAnsi="宋体" w:eastAsia="仿宋_GB2312" w:cs="宋体"/>
                <w:color w:val="000000"/>
                <w:kern w:val="0"/>
                <w:sz w:val="28"/>
                <w:szCs w:val="28"/>
              </w:rPr>
            </w:pPr>
            <w:r>
              <w:rPr>
                <w:rFonts w:ascii="仿宋_GB2312" w:hAnsi="宋体" w:eastAsia="仿宋_GB2312" w:cs="宋体"/>
                <w:color w:val="000000"/>
                <w:kern w:val="0"/>
                <w:sz w:val="28"/>
                <w:szCs w:val="28"/>
              </w:rPr>
              <w:t>这</w:t>
            </w:r>
            <w:r>
              <w:rPr>
                <w:rFonts w:hint="eastAsia" w:ascii="仿宋_GB2312" w:hAnsi="宋体" w:eastAsia="仿宋_GB2312" w:cs="宋体"/>
                <w:color w:val="000000"/>
                <w:kern w:val="0"/>
                <w:sz w:val="28"/>
                <w:szCs w:val="28"/>
              </w:rPr>
              <w:t>两类信息都</w:t>
            </w:r>
            <w:r>
              <w:rPr>
                <w:rFonts w:ascii="仿宋_GB2312" w:hAnsi="宋体" w:eastAsia="仿宋_GB2312" w:cs="宋体"/>
                <w:color w:val="000000"/>
                <w:kern w:val="0"/>
                <w:sz w:val="28"/>
                <w:szCs w:val="28"/>
              </w:rPr>
              <w:t>涉及债务人财产</w:t>
            </w:r>
            <w:r>
              <w:rPr>
                <w:rFonts w:hint="eastAsia" w:ascii="仿宋_GB2312" w:hAnsi="宋体" w:eastAsia="仿宋_GB2312" w:cs="宋体"/>
                <w:color w:val="000000"/>
                <w:kern w:val="0"/>
                <w:sz w:val="28"/>
                <w:szCs w:val="28"/>
              </w:rPr>
              <w:t>状况</w:t>
            </w:r>
            <w:r>
              <w:rPr>
                <w:rFonts w:ascii="仿宋_GB2312" w:hAnsi="宋体" w:eastAsia="仿宋_GB2312" w:cs="宋体"/>
                <w:color w:val="000000"/>
                <w:kern w:val="0"/>
                <w:sz w:val="28"/>
                <w:szCs w:val="28"/>
              </w:rPr>
              <w:t>，但</w:t>
            </w:r>
            <w:r>
              <w:rPr>
                <w:rFonts w:hint="eastAsia" w:ascii="仿宋_GB2312" w:hAnsi="宋体" w:eastAsia="仿宋_GB2312" w:cs="宋体"/>
                <w:color w:val="000000"/>
                <w:kern w:val="0"/>
                <w:sz w:val="28"/>
                <w:szCs w:val="28"/>
              </w:rPr>
              <w:t>信息的内容和</w:t>
            </w:r>
            <w:r>
              <w:rPr>
                <w:rFonts w:ascii="仿宋_GB2312" w:hAnsi="宋体" w:eastAsia="仿宋_GB2312" w:cs="宋体"/>
                <w:color w:val="000000"/>
                <w:kern w:val="0"/>
                <w:sz w:val="28"/>
                <w:szCs w:val="28"/>
              </w:rPr>
              <w:t>掌握</w:t>
            </w:r>
            <w:r>
              <w:rPr>
                <w:rFonts w:hint="eastAsia" w:ascii="仿宋_GB2312" w:hAnsi="宋体" w:eastAsia="仿宋_GB2312" w:cs="宋体"/>
                <w:color w:val="000000"/>
                <w:kern w:val="0"/>
                <w:sz w:val="28"/>
                <w:szCs w:val="28"/>
              </w:rPr>
              <w:t>主体均不相同</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应当分开</w:t>
            </w:r>
            <w:r>
              <w:rPr>
                <w:rFonts w:ascii="仿宋_GB2312" w:hAnsi="宋体" w:eastAsia="仿宋_GB2312" w:cs="宋体"/>
                <w:color w:val="000000"/>
                <w:kern w:val="0"/>
                <w:sz w:val="28"/>
                <w:szCs w:val="28"/>
              </w:rPr>
              <w:t>申报。</w:t>
            </w:r>
          </w:p>
        </w:tc>
      </w:tr>
      <w:bookmarkEnd w:id="3"/>
      <w:bookmarkEnd w:id="4"/>
      <w:bookmarkEnd w:id="5"/>
      <w:tr w14:paraId="00CE6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jc w:val="center"/>
        </w:trPr>
        <w:tc>
          <w:tcPr>
            <w:tcW w:w="495" w:type="pct"/>
            <w:noWrap w:val="0"/>
            <w:vAlign w:val="center"/>
          </w:tcPr>
          <w:p w14:paraId="4E666371">
            <w:pPr>
              <w:widowControl/>
              <w:spacing w:line="480" w:lineRule="exact"/>
              <w:ind w:firstLine="0"/>
              <w:jc w:val="center"/>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6</w:t>
            </w:r>
          </w:p>
        </w:tc>
        <w:tc>
          <w:tcPr>
            <w:tcW w:w="2466" w:type="pct"/>
            <w:noWrap w:val="0"/>
            <w:vAlign w:val="center"/>
          </w:tcPr>
          <w:p w14:paraId="3A6C2282">
            <w:pPr>
              <w:widowControl/>
              <w:spacing w:line="480" w:lineRule="exact"/>
              <w:ind w:firstLine="0"/>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第十五条修改意见：将意见稿第十五条第二段末“管理人可以作出“不予通过”的审核意见，并上报市破产管理署”修改为“管理人应提交人民法院裁定，并暂停信息公示直至裁定生效。”。修改后原文如下：第十五条【信息审核】管理人负责对债务人、债权人等相关主体申报的个人破产信息和佐证材料进行审核。管理人经审核认为债务人申报的信息不完整、不准确、不真实、不一致或者存在其他问题的，管理人可以作出“退回修改”的审核意见，并指导债务人规范申报个人破产信息。管理人经多次指导，债务人依然不能规范申报个人破产信息的，管理人应提交人民法院裁定，并暂停信息公示直至裁定生效。市破产管理署可以组织对登记申报的个人破产信息、佐证材料以及管理人审核个人破产信息的情况进行检查监督。原因：管理人审核权越位，第十五条管理人可对债务人申报信息直接作“不予通过”决定，《深圳经济特区个人破产条例》第九条明确信息审核权属人民法院。上述修改厘清司法权与行政管理权边界，明确司法最终审查权，防止行政干预审判，防范行政诉讼风险（如债务人因信息审核错误起诉管理人）。</w:t>
            </w:r>
          </w:p>
        </w:tc>
        <w:tc>
          <w:tcPr>
            <w:tcW w:w="565" w:type="pct"/>
            <w:noWrap w:val="0"/>
            <w:vAlign w:val="center"/>
          </w:tcPr>
          <w:p w14:paraId="77A7FF3D">
            <w:pPr>
              <w:widowControl/>
              <w:spacing w:line="480" w:lineRule="exact"/>
              <w:ind w:firstLine="0"/>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未采纳</w:t>
            </w:r>
          </w:p>
        </w:tc>
        <w:tc>
          <w:tcPr>
            <w:tcW w:w="1474" w:type="pct"/>
            <w:noWrap w:val="0"/>
            <w:vAlign w:val="center"/>
          </w:tcPr>
          <w:p w14:paraId="6144BEBA">
            <w:pPr>
              <w:widowControl/>
              <w:spacing w:line="480" w:lineRule="exact"/>
              <w:ind w:firstLine="0"/>
              <w:rPr>
                <w:rFonts w:ascii="仿宋_GB2312" w:hAnsi="宋体" w:eastAsia="仿宋_GB2312" w:cs="宋体"/>
                <w:color w:val="000000"/>
                <w:kern w:val="0"/>
                <w:sz w:val="28"/>
                <w:szCs w:val="28"/>
              </w:rPr>
            </w:pPr>
            <w:bookmarkStart w:id="8" w:name="OLE_LINK7"/>
            <w:bookmarkStart w:id="9" w:name="OLE_LINK8"/>
            <w:bookmarkStart w:id="10" w:name="OLE_LINK11"/>
            <w:bookmarkStart w:id="11" w:name="OLE_LINK12"/>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个破</w:t>
            </w:r>
            <w:r>
              <w:rPr>
                <w:rFonts w:ascii="仿宋_GB2312" w:hAnsi="宋体" w:eastAsia="仿宋_GB2312" w:cs="宋体"/>
                <w:color w:val="000000"/>
                <w:kern w:val="0"/>
                <w:sz w:val="28"/>
                <w:szCs w:val="28"/>
              </w:rPr>
              <w:t>条例》</w:t>
            </w:r>
            <w:bookmarkEnd w:id="8"/>
            <w:bookmarkEnd w:id="9"/>
            <w:r>
              <w:rPr>
                <w:rFonts w:hint="eastAsia" w:ascii="仿宋_GB2312" w:hAnsi="宋体" w:eastAsia="仿宋_GB2312" w:cs="宋体"/>
                <w:color w:val="000000"/>
                <w:kern w:val="0"/>
                <w:sz w:val="28"/>
                <w:szCs w:val="28"/>
              </w:rPr>
              <w:t>第九十九条第一款，</w:t>
            </w:r>
            <w:bookmarkEnd w:id="10"/>
            <w:bookmarkEnd w:id="11"/>
            <w:r>
              <w:rPr>
                <w:rFonts w:ascii="仿宋_GB2312" w:hAnsi="宋体" w:eastAsia="仿宋_GB2312" w:cs="宋体"/>
                <w:color w:val="000000"/>
                <w:kern w:val="0"/>
                <w:sz w:val="28"/>
                <w:szCs w:val="28"/>
              </w:rPr>
              <w:t>在考察期内，债务人应当每月在破产事务管理部门的破产信息系统登记申报个人收入、支出和财产状况等信息。</w:t>
            </w:r>
          </w:p>
          <w:p w14:paraId="7F1A7AB8">
            <w:pPr>
              <w:widowControl/>
              <w:spacing w:line="480" w:lineRule="exact"/>
              <w:ind w:firstLine="0"/>
              <w:rPr>
                <w:rFonts w:ascii="仿宋_GB2312" w:hAnsi="宋体" w:eastAsia="仿宋_GB2312" w:cs="宋体"/>
                <w:color w:val="000000"/>
                <w:kern w:val="0"/>
                <w:sz w:val="28"/>
                <w:szCs w:val="28"/>
              </w:rPr>
            </w:pP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个破</w:t>
            </w:r>
            <w:r>
              <w:rPr>
                <w:rFonts w:ascii="仿宋_GB2312" w:hAnsi="宋体" w:eastAsia="仿宋_GB2312" w:cs="宋体"/>
                <w:color w:val="000000"/>
                <w:kern w:val="0"/>
                <w:sz w:val="28"/>
                <w:szCs w:val="28"/>
              </w:rPr>
              <w:t>条例》</w:t>
            </w:r>
            <w:r>
              <w:rPr>
                <w:rFonts w:hint="eastAsia" w:ascii="仿宋_GB2312" w:hAnsi="宋体" w:eastAsia="仿宋_GB2312" w:cs="宋体"/>
                <w:color w:val="000000"/>
                <w:kern w:val="0"/>
                <w:sz w:val="28"/>
                <w:szCs w:val="28"/>
              </w:rPr>
              <w:t>第九十九条第三款，破产事务管理部门应当对债务人的收入、支出、财产等的变动情况以及管理人履行职责行为进行检查监督，并依法公开。</w:t>
            </w:r>
          </w:p>
          <w:p w14:paraId="3939AECD">
            <w:pPr>
              <w:widowControl/>
              <w:spacing w:line="480" w:lineRule="exact"/>
              <w:ind w:firstLine="0"/>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《个破条例》第一百二十五条第三款，债务人应当每月向破产事务管理部门、管理人报告重整计划执行期间的收入、支出以及债务清偿情况。破产事务管理部门应当予以登记并依法公开。</w:t>
            </w:r>
          </w:p>
        </w:tc>
      </w:tr>
      <w:tr w14:paraId="52334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jc w:val="center"/>
        </w:trPr>
        <w:tc>
          <w:tcPr>
            <w:tcW w:w="495" w:type="pct"/>
            <w:noWrap w:val="0"/>
            <w:vAlign w:val="center"/>
          </w:tcPr>
          <w:p w14:paraId="0DC638D2">
            <w:pPr>
              <w:widowControl/>
              <w:spacing w:line="480" w:lineRule="exact"/>
              <w:ind w:firstLine="0"/>
              <w:jc w:val="center"/>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7</w:t>
            </w:r>
          </w:p>
        </w:tc>
        <w:tc>
          <w:tcPr>
            <w:tcW w:w="2466" w:type="pct"/>
            <w:noWrap w:val="0"/>
            <w:vAlign w:val="center"/>
          </w:tcPr>
          <w:p w14:paraId="4F46A8BB">
            <w:pPr>
              <w:widowControl/>
              <w:spacing w:line="480" w:lineRule="exact"/>
              <w:ind w:firstLine="0"/>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第十六条修改意见：在意见稿第十六条（五）后增加“豁免财产清单的核心类别（如生活必需品、生产工具）、债务人重大财产变动情况”。修改后原文如下：第十六条【主动公示范围】市破产管理署通过市个人破产信息公开平台公示下列个人破产信息：（一）个人破产案件有关裁判节点信息；（二）债务人的姓名、经脱敏处理的证件号码；（三）管理人名称、团队负责人和联系人基本信息、惩戒信息；（四）限制或者解除限制债务人消费行为决定书；（五）破产财产分配方案、重整计划、和解协议的主要内容；（六）豁免财产清单的核心类别（如生活必需品、生产工具）、债务人重大财产变动情况；（七）《深圳经济特区个人破产条例》规定应当主动公示的其他信息。前款规定的个人破产信息，市破产管理署自登记获取相关信息后十日内通过市个人破产信息公开平台进行公示。原因：信息共享与公示范围冲突，意见稿第九条要求法院共享“债务人财产状况”“豁免财产清单”等详细信息；第十六条却仅公示“破产财产分配方案、重整计划的主要内容”，未包含财产细节。共享信息未有效转化为公示内容，加重行政负担却未提升透明度。上述修改豁免财产“类别公示”替代“清单公示”，既满足债权人监督需求（如防止转移房产），又减少债务人隐私暴露，平衡债权知情权与隐私保护。</w:t>
            </w:r>
          </w:p>
        </w:tc>
        <w:tc>
          <w:tcPr>
            <w:tcW w:w="565" w:type="pct"/>
            <w:noWrap w:val="0"/>
            <w:vAlign w:val="center"/>
          </w:tcPr>
          <w:p w14:paraId="5A591B50">
            <w:pPr>
              <w:widowControl/>
              <w:spacing w:line="480" w:lineRule="exact"/>
              <w:ind w:firstLine="0"/>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解释说明</w:t>
            </w:r>
          </w:p>
        </w:tc>
        <w:tc>
          <w:tcPr>
            <w:tcW w:w="1474" w:type="pct"/>
            <w:noWrap w:val="0"/>
            <w:vAlign w:val="center"/>
          </w:tcPr>
          <w:p w14:paraId="7E8457F3">
            <w:pPr>
              <w:widowControl/>
              <w:spacing w:line="480" w:lineRule="exact"/>
              <w:ind w:firstLine="0"/>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豁免财产清单属于债务人财产状况的内容</w:t>
            </w:r>
            <w:r>
              <w:rPr>
                <w:rFonts w:ascii="仿宋_GB2312" w:hAnsi="宋体" w:eastAsia="仿宋_GB2312" w:cs="宋体"/>
                <w:color w:val="000000"/>
                <w:kern w:val="0"/>
                <w:sz w:val="28"/>
                <w:szCs w:val="28"/>
              </w:rPr>
              <w:t>之一，</w:t>
            </w:r>
            <w:r>
              <w:rPr>
                <w:rFonts w:hint="eastAsia" w:ascii="仿宋_GB2312" w:hAnsi="宋体" w:eastAsia="仿宋_GB2312" w:cs="宋体"/>
                <w:color w:val="000000"/>
                <w:kern w:val="0"/>
                <w:sz w:val="28"/>
                <w:szCs w:val="28"/>
              </w:rPr>
              <w:t>属于应当</w:t>
            </w:r>
            <w:r>
              <w:rPr>
                <w:rFonts w:ascii="仿宋_GB2312" w:hAnsi="宋体" w:eastAsia="仿宋_GB2312" w:cs="宋体"/>
                <w:color w:val="000000"/>
                <w:kern w:val="0"/>
                <w:sz w:val="28"/>
                <w:szCs w:val="28"/>
              </w:rPr>
              <w:t>公示的个人破产信息范围，</w:t>
            </w:r>
            <w:r>
              <w:rPr>
                <w:rFonts w:hint="eastAsia" w:ascii="仿宋_GB2312" w:hAnsi="宋体" w:eastAsia="仿宋_GB2312" w:cs="宋体"/>
                <w:color w:val="000000"/>
                <w:kern w:val="0"/>
                <w:sz w:val="28"/>
                <w:szCs w:val="28"/>
              </w:rPr>
              <w:t>公示</w:t>
            </w:r>
            <w:r>
              <w:rPr>
                <w:rFonts w:ascii="仿宋_GB2312" w:hAnsi="宋体" w:eastAsia="仿宋_GB2312" w:cs="宋体"/>
                <w:color w:val="000000"/>
                <w:kern w:val="0"/>
                <w:sz w:val="28"/>
                <w:szCs w:val="28"/>
              </w:rPr>
              <w:t>方式为</w:t>
            </w:r>
            <w:r>
              <w:rPr>
                <w:rFonts w:hint="eastAsia" w:ascii="仿宋_GB2312" w:hAnsi="宋体" w:eastAsia="仿宋_GB2312" w:cs="宋体"/>
                <w:color w:val="000000"/>
                <w:kern w:val="0"/>
                <w:sz w:val="28"/>
                <w:szCs w:val="28"/>
              </w:rPr>
              <w:t>“依申请</w:t>
            </w:r>
            <w:r>
              <w:rPr>
                <w:rFonts w:ascii="仿宋_GB2312" w:hAnsi="宋体" w:eastAsia="仿宋_GB2312" w:cs="宋体"/>
                <w:color w:val="000000"/>
                <w:kern w:val="0"/>
                <w:sz w:val="28"/>
                <w:szCs w:val="28"/>
              </w:rPr>
              <w:t>查询</w:t>
            </w:r>
            <w:r>
              <w:rPr>
                <w:rFonts w:hint="eastAsia" w:ascii="仿宋_GB2312" w:hAnsi="宋体" w:eastAsia="仿宋_GB2312" w:cs="宋体"/>
                <w:color w:val="000000"/>
                <w:kern w:val="0"/>
                <w:sz w:val="28"/>
                <w:szCs w:val="28"/>
              </w:rPr>
              <w:t>”。</w:t>
            </w:r>
          </w:p>
        </w:tc>
      </w:tr>
      <w:tr w14:paraId="2FEEC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jc w:val="center"/>
        </w:trPr>
        <w:tc>
          <w:tcPr>
            <w:tcW w:w="495" w:type="pct"/>
            <w:noWrap w:val="0"/>
            <w:vAlign w:val="center"/>
          </w:tcPr>
          <w:p w14:paraId="144C9CF3">
            <w:pPr>
              <w:widowControl/>
              <w:spacing w:line="480" w:lineRule="exact"/>
              <w:ind w:firstLine="0"/>
              <w:jc w:val="center"/>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8</w:t>
            </w:r>
          </w:p>
        </w:tc>
        <w:tc>
          <w:tcPr>
            <w:tcW w:w="2466" w:type="pct"/>
            <w:noWrap w:val="0"/>
            <w:vAlign w:val="center"/>
          </w:tcPr>
          <w:p w14:paraId="0D8AE183">
            <w:pPr>
              <w:widowControl/>
              <w:spacing w:line="480" w:lineRule="exact"/>
              <w:ind w:firstLine="0"/>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第十七条修改意见：将意见稿第十七条第一段“八”修改为“五”。修改后原文如下：第十七条【主动公示期限】人民法院裁定免除债务人未清偿债务的，市破产管理署公示个人破产信息的时限为五年，公示时限自人民法院裁定免除债务人未清偿债务之日起计算。人民法院审理的个人破产案件存在下列情形之一，市破产管理署公示个人破产信息的时限为一年，有关公示时限自人民法院有关裁定生效之日起计算：（一）裁定驳回破产申请的；（二）裁定终结破产程序且债务人未进入执行考察期的；（三）裁定终止重整计划或者和解协议执行的；（四）裁定不予免除或者撤销免除债务人未清偿债务的。个人破产信息的公示时限届满后，市破产管理署删除在市个人破产信息公开平台公示的相关个人破产信息，债务人、债权人等相关主体也可以联系市破产管理署删除相关信息。公示期满后，信息转入依申请查询范围，非经申请不得公开访问。原因：公示期限超限，意见稿第十七条免责债务人信息公示8年，远超《征信业管理条例》第十六条“不良信息保存5年”上限；缺乏事后监管透明度。上述修改衔接全国征信标准，保障债务人救济权，公示期限与《征信业管理条例》一致，避免特区立法与全国性法律冲突。</w:t>
            </w:r>
          </w:p>
        </w:tc>
        <w:tc>
          <w:tcPr>
            <w:tcW w:w="565" w:type="pct"/>
            <w:noWrap w:val="0"/>
            <w:vAlign w:val="center"/>
          </w:tcPr>
          <w:p w14:paraId="1C81E492">
            <w:pPr>
              <w:widowControl/>
              <w:spacing w:line="480" w:lineRule="exact"/>
              <w:ind w:firstLine="0"/>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未采纳</w:t>
            </w:r>
          </w:p>
        </w:tc>
        <w:tc>
          <w:tcPr>
            <w:tcW w:w="1474" w:type="pct"/>
            <w:noWrap w:val="0"/>
            <w:vAlign w:val="center"/>
          </w:tcPr>
          <w:p w14:paraId="1AE8ABB7">
            <w:pPr>
              <w:widowControl/>
              <w:spacing w:line="480" w:lineRule="exact"/>
              <w:ind w:firstLine="0"/>
              <w:rPr>
                <w:rFonts w:hint="eastAsia" w:ascii="仿宋_GB2312" w:hAnsi="宋体" w:eastAsia="仿宋_GB2312" w:cs="宋体"/>
                <w:color w:val="000000"/>
                <w:kern w:val="0"/>
                <w:sz w:val="28"/>
                <w:szCs w:val="28"/>
              </w:rPr>
            </w:pPr>
            <w:bookmarkStart w:id="12" w:name="OLE_LINK4"/>
            <w:r>
              <w:rPr>
                <w:rFonts w:hint="eastAsia" w:ascii="仿宋_GB2312" w:hAnsi="宋体" w:eastAsia="仿宋_GB2312" w:cs="宋体"/>
                <w:color w:val="000000"/>
                <w:kern w:val="0"/>
                <w:sz w:val="28"/>
                <w:szCs w:val="28"/>
              </w:rPr>
              <w:t>一是个人破产信息不属于《征信业管理条例》规定的个人不良信息。二是依据《深圳经济特区个人破产条例》第十四条规定，债务人免除未清偿债务未超过八年的，人民法院不予受理债务人破产申请。《办法》规定八年期限的</w:t>
            </w:r>
            <w:r>
              <w:rPr>
                <w:rFonts w:ascii="仿宋_GB2312" w:hAnsi="宋体" w:eastAsia="仿宋_GB2312" w:cs="宋体"/>
                <w:color w:val="000000"/>
                <w:kern w:val="0"/>
                <w:sz w:val="28"/>
                <w:szCs w:val="28"/>
              </w:rPr>
              <w:t>目的是</w:t>
            </w:r>
            <w:r>
              <w:rPr>
                <w:rFonts w:hint="eastAsia" w:ascii="仿宋_GB2312" w:hAnsi="宋体" w:eastAsia="仿宋_GB2312" w:cs="宋体"/>
                <w:color w:val="000000"/>
                <w:kern w:val="0"/>
                <w:sz w:val="28"/>
                <w:szCs w:val="28"/>
              </w:rPr>
              <w:t>保障社会公众的监督权，协助防范</w:t>
            </w:r>
            <w:r>
              <w:rPr>
                <w:rFonts w:ascii="仿宋_GB2312" w:hAnsi="宋体" w:eastAsia="仿宋_GB2312" w:cs="宋体"/>
                <w:color w:val="000000"/>
                <w:kern w:val="0"/>
                <w:sz w:val="28"/>
                <w:szCs w:val="28"/>
              </w:rPr>
              <w:t>破产欺诈。</w:t>
            </w:r>
            <w:bookmarkEnd w:id="12"/>
          </w:p>
        </w:tc>
      </w:tr>
      <w:tr w14:paraId="1247E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jc w:val="center"/>
        </w:trPr>
        <w:tc>
          <w:tcPr>
            <w:tcW w:w="495" w:type="pct"/>
            <w:noWrap w:val="0"/>
            <w:vAlign w:val="center"/>
          </w:tcPr>
          <w:p w14:paraId="4CB9724E">
            <w:pPr>
              <w:widowControl/>
              <w:spacing w:line="480" w:lineRule="exact"/>
              <w:ind w:firstLine="0"/>
              <w:jc w:val="center"/>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9</w:t>
            </w:r>
          </w:p>
        </w:tc>
        <w:tc>
          <w:tcPr>
            <w:tcW w:w="2466" w:type="pct"/>
            <w:noWrap w:val="0"/>
            <w:vAlign w:val="center"/>
          </w:tcPr>
          <w:p w14:paraId="445D7BFB">
            <w:pPr>
              <w:widowControl/>
              <w:spacing w:line="480" w:lineRule="exact"/>
              <w:ind w:firstLine="0"/>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第十七条末尾增加“公示期满后，信息转入依申请查询范围，非经申请不得公开访问。”</w:t>
            </w:r>
            <w:r>
              <w:rPr>
                <w:rFonts w:hint="eastAsia"/>
              </w:rPr>
              <w:t xml:space="preserve"> </w:t>
            </w:r>
            <w:r>
              <w:rPr>
                <w:rFonts w:hint="eastAsia" w:ascii="仿宋_GB2312" w:hAnsi="宋体" w:eastAsia="仿宋_GB2312" w:cs="宋体"/>
                <w:color w:val="000000"/>
                <w:kern w:val="0"/>
                <w:sz w:val="28"/>
                <w:szCs w:val="28"/>
              </w:rPr>
              <w:t>新增“转入依申请查询范围”，保留必要监管透明度，同时保障债务人救济权。</w:t>
            </w:r>
          </w:p>
        </w:tc>
        <w:tc>
          <w:tcPr>
            <w:tcW w:w="565" w:type="pct"/>
            <w:noWrap w:val="0"/>
            <w:vAlign w:val="center"/>
          </w:tcPr>
          <w:p w14:paraId="1C6B5850">
            <w:pPr>
              <w:widowControl/>
              <w:spacing w:line="480" w:lineRule="exact"/>
              <w:ind w:firstLine="0"/>
              <w:jc w:val="center"/>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采纳</w:t>
            </w:r>
          </w:p>
        </w:tc>
        <w:tc>
          <w:tcPr>
            <w:tcW w:w="1474" w:type="pct"/>
            <w:noWrap w:val="0"/>
            <w:vAlign w:val="center"/>
          </w:tcPr>
          <w:p w14:paraId="13E3B1C4">
            <w:pPr>
              <w:widowControl/>
              <w:spacing w:line="480" w:lineRule="exact"/>
              <w:ind w:firstLine="0"/>
              <w:rPr>
                <w:rFonts w:hint="eastAsia" w:ascii="仿宋_GB2312" w:hAnsi="宋体" w:eastAsia="仿宋_GB2312" w:cs="宋体"/>
                <w:color w:val="000000"/>
                <w:kern w:val="0"/>
                <w:sz w:val="28"/>
                <w:szCs w:val="28"/>
              </w:rPr>
            </w:pPr>
          </w:p>
        </w:tc>
      </w:tr>
      <w:tr w14:paraId="6184F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jc w:val="center"/>
        </w:trPr>
        <w:tc>
          <w:tcPr>
            <w:tcW w:w="495" w:type="pct"/>
            <w:noWrap w:val="0"/>
            <w:vAlign w:val="center"/>
          </w:tcPr>
          <w:p w14:paraId="52B934F7">
            <w:pPr>
              <w:widowControl/>
              <w:spacing w:line="480" w:lineRule="exact"/>
              <w:ind w:firstLine="0"/>
              <w:jc w:val="center"/>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10</w:t>
            </w:r>
          </w:p>
        </w:tc>
        <w:tc>
          <w:tcPr>
            <w:tcW w:w="2466" w:type="pct"/>
            <w:noWrap w:val="0"/>
            <w:vAlign w:val="center"/>
          </w:tcPr>
          <w:p w14:paraId="56385BA4">
            <w:pPr>
              <w:widowControl/>
              <w:spacing w:line="480" w:lineRule="exact"/>
              <w:ind w:firstLine="0"/>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第十九条修改意见：</w:t>
            </w:r>
            <w:bookmarkStart w:id="13" w:name="OLE_LINK38"/>
            <w:r>
              <w:rPr>
                <w:rFonts w:hint="eastAsia" w:ascii="仿宋_GB2312" w:hAnsi="宋体" w:eastAsia="仿宋_GB2312" w:cs="宋体"/>
                <w:color w:val="000000"/>
                <w:kern w:val="0"/>
                <w:sz w:val="28"/>
                <w:szCs w:val="28"/>
              </w:rPr>
              <w:t>将意见稿第十九条第二段“及时”修改为“在知悉后5个工作日内”</w:t>
            </w:r>
            <w:bookmarkEnd w:id="13"/>
            <w:r>
              <w:rPr>
                <w:rFonts w:hint="eastAsia" w:ascii="仿宋_GB2312" w:hAnsi="宋体" w:eastAsia="仿宋_GB2312" w:cs="宋体"/>
                <w:color w:val="000000"/>
                <w:kern w:val="0"/>
                <w:sz w:val="28"/>
                <w:szCs w:val="28"/>
              </w:rPr>
              <w:t>。在意见稿第十九条末尾增加“市破产管理署应当自收到申请之日起10个工作日内完成核查并书面答复申请人；情况复杂的可延长至20日，但需说明理由并告知延期时限。”。修改后原文如下：第十九条【信息纠正】市破产管理署发现登记或者公示的个人破产信息存在不完整、不准确、不真实、不一致等情形的，应当及时组织调查，通知相关人员补充或者更正相关信息。人民法院、相关单位发现向市破产管理署共享的个人破产信息不完整、不准确的，应当在知悉后5个工作日内重新提供。债务人、债权人、管理人等相关主体发现市破产管理署登记或者公示的个人破产信息存在不完整、不准确、不真实、不一致等情形的，应当持相关佐证材料申请补充或者更正。市破产管理署应当自收到申请之日起10个工作日内完成核查并书面答复申请人；情况复杂的可延长至20日，但需说明理由并告知延期时限。原因：信息纠正机制缺失，意见稿第十九条仅要求“通知补充或更正信息”，未规定异议处理时限和程序。上述修改增加重新提供时限，明确责任主体纠错义务，避免信息更新滞后；新增“10日内书面答复”程序，落实《深圳经济特区个人破产条例》救济权，防范因信息错误导致信用损害；延长情形需书面说明，平衡效率与公正，参考《深圳市个人信用征信及信用评级管理办法》第十六条异议处理规则。</w:t>
            </w:r>
          </w:p>
        </w:tc>
        <w:tc>
          <w:tcPr>
            <w:tcW w:w="565" w:type="pct"/>
            <w:noWrap w:val="0"/>
            <w:vAlign w:val="center"/>
          </w:tcPr>
          <w:p w14:paraId="2CF8BBCC">
            <w:pPr>
              <w:widowControl/>
              <w:spacing w:line="480" w:lineRule="exact"/>
              <w:ind w:firstLine="0"/>
              <w:jc w:val="center"/>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采纳</w:t>
            </w:r>
          </w:p>
        </w:tc>
        <w:tc>
          <w:tcPr>
            <w:tcW w:w="1474" w:type="pct"/>
            <w:noWrap w:val="0"/>
            <w:vAlign w:val="center"/>
          </w:tcPr>
          <w:p w14:paraId="6031B4B9">
            <w:pPr>
              <w:widowControl/>
              <w:spacing w:line="480" w:lineRule="exact"/>
              <w:ind w:firstLine="0"/>
              <w:rPr>
                <w:rFonts w:hint="eastAsia" w:ascii="仿宋_GB2312" w:hAnsi="宋体" w:eastAsia="仿宋_GB2312" w:cs="宋体"/>
                <w:color w:val="000000"/>
                <w:kern w:val="0"/>
                <w:sz w:val="28"/>
                <w:szCs w:val="28"/>
              </w:rPr>
            </w:pPr>
          </w:p>
        </w:tc>
      </w:tr>
    </w:tbl>
    <w:p w14:paraId="67801165">
      <w:pPr>
        <w:pStyle w:val="2"/>
        <w:spacing w:line="480" w:lineRule="exact"/>
        <w:ind w:firstLine="0" w:firstLineChars="0"/>
        <w:jc w:val="left"/>
      </w:pPr>
    </w:p>
    <w:p w14:paraId="64579EC6"/>
    <w:sectPr>
      <w:pgSz w:w="16838" w:h="11906" w:orient="landscape"/>
      <w:pgMar w:top="1588" w:right="2098" w:bottom="1474" w:left="1985"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784986F-096B-4610-8684-C464FC798CB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C8DF9937-85C0-4B72-9047-05BAF8223EE3}"/>
  </w:font>
  <w:font w:name="等线">
    <w:panose1 w:val="02010600030101010101"/>
    <w:charset w:val="86"/>
    <w:family w:val="auto"/>
    <w:pitch w:val="default"/>
    <w:sig w:usb0="A00002BF" w:usb1="38CF7CFA" w:usb2="00000016" w:usb3="00000000" w:csb0="0004000F" w:csb1="00000000"/>
  </w:font>
  <w:font w:name="方正小标宋简体">
    <w:panose1 w:val="02010600010101010101"/>
    <w:charset w:val="86"/>
    <w:family w:val="script"/>
    <w:pitch w:val="default"/>
    <w:sig w:usb0="00000001" w:usb1="080E0000" w:usb2="00000000" w:usb3="00000000" w:csb0="00040000" w:csb1="00000000"/>
    <w:embedRegular r:id="rId3" w:fontKey="{F671C336-A3E1-4F23-917E-E2751BCDC576}"/>
  </w:font>
  <w:font w:name="仿宋_GB2312">
    <w:panose1 w:val="02010609030101010101"/>
    <w:charset w:val="86"/>
    <w:family w:val="modern"/>
    <w:pitch w:val="default"/>
    <w:sig w:usb0="00000001" w:usb1="080E0000" w:usb2="00000000" w:usb3="00000000" w:csb0="00040000" w:csb1="00000000"/>
    <w:embedRegular r:id="rId4" w:fontKey="{F01FA62D-6EF9-450A-A8DA-75E6F9A54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85A76AE"/>
    <w:rsid w:val="185A76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ind w:firstLine="420"/>
      <w:jc w:val="both"/>
    </w:pPr>
    <w:rPr>
      <w:rFonts w:ascii="等线" w:hAnsi="等线" w:eastAsia="等线" w:cs="Times New Roman"/>
      <w:kern w:val="2"/>
      <w:sz w:val="21"/>
      <w:szCs w:val="22"/>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Normal Indent"/>
    <w:basedOn w:val="1"/>
    <w:unhideWhenUsed/>
    <w:qFormat/>
    <w:uiPriority w:val="99"/>
    <w:pPr>
      <w:ind w:firstLine="200" w:firstLineChars="200"/>
    </w:pPr>
  </w:style>
  <w:style w:type="paragraph" w:styleId="3">
    <w:name w:val="footer"/>
    <w:basedOn w:val="1"/>
    <w:unhideWhenUsed/>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2025-08-01T01:53:00Z</dcterms:created>
  <dc:creator>阿营</dc:creator>
  <cp:lastModifiedBy>阿营</cp:lastModifiedBy>
  <dcterms:modified xsi:type="dcterms:W3CDTF">2025-08-01T01:56:30Z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E57983714A884CC6BDC8C825708F4907_11</vt:lpwstr>
  </property>
  <property fmtid="{D5CDD505-2E9C-101B-9397-08002B2CF9AE}" pid="4" name="KSOTemplateDocerSaveRecord">
    <vt:lpwstr>eyJoZGlkIjoiOTE5MGUyN2E3NzM2MGExODZlOWY3N2U1NWY5MzA5MTciLCJ1c2VySWQiOiI0MTE2MDgyODUifQ==</vt:lpwstr>
  </property>
</Properties>
</file>