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60"/>
        </w:tabs>
        <w:spacing w:line="340" w:lineRule="exact"/>
        <w:jc w:val="left"/>
        <w:rPr>
          <w:rFonts w:hint="eastAsia" w:ascii="黑体" w:hAnsi="黑体" w:eastAsia="黑体" w:cs="黑体"/>
          <w:color w:val="000000"/>
          <w:szCs w:val="32"/>
          <w:lang w:eastAsia="zh-CN"/>
        </w:rPr>
      </w:pPr>
      <w:r>
        <w:rPr>
          <w:rFonts w:hint="eastAsia" w:ascii="黑体" w:hAnsi="黑体" w:eastAsia="黑体" w:cs="黑体"/>
          <w:color w:val="000000"/>
          <w:szCs w:val="32"/>
        </w:rPr>
        <w:fldChar w:fldCharType="begin"/>
      </w:r>
      <w:r>
        <w:rPr>
          <w:rFonts w:hint="eastAsia" w:ascii="黑体" w:hAnsi="黑体" w:eastAsia="黑体" w:cs="黑体"/>
          <w:color w:val="000000"/>
          <w:szCs w:val="32"/>
        </w:rPr>
        <w:instrText xml:space="preserve">ADDIN CNKISM.UserStyle</w:instrText>
      </w:r>
      <w:r>
        <w:rPr>
          <w:rFonts w:hint="eastAsia" w:ascii="黑体" w:hAnsi="黑体" w:eastAsia="黑体" w:cs="黑体"/>
          <w:color w:val="000000"/>
          <w:szCs w:val="32"/>
        </w:rPr>
        <w:fldChar w:fldCharType="end"/>
      </w:r>
      <w:r>
        <w:rPr>
          <w:rFonts w:hint="eastAsia" w:ascii="黑体" w:hAnsi="黑体" w:eastAsia="黑体" w:cs="黑体"/>
          <w:color w:val="000000"/>
          <w:szCs w:val="32"/>
        </w:rPr>
        <w:t>附件</w:t>
      </w:r>
      <w:r>
        <w:rPr>
          <w:rFonts w:hint="eastAsia" w:ascii="黑体" w:hAnsi="黑体" w:eastAsia="黑体" w:cs="黑体"/>
          <w:color w:val="000000"/>
          <w:szCs w:val="32"/>
          <w:lang w:eastAsia="zh-CN"/>
        </w:rPr>
        <w:t>：</w:t>
      </w:r>
    </w:p>
    <w:p>
      <w:pPr>
        <w:spacing w:line="340" w:lineRule="exact"/>
        <w:jc w:val="left"/>
        <w:rPr>
          <w:rFonts w:ascii="仿宋_GB2312"/>
          <w:color w:val="000000"/>
          <w:kern w:val="0"/>
          <w:sz w:val="28"/>
          <w:szCs w:val="28"/>
        </w:rPr>
      </w:pPr>
    </w:p>
    <w:p>
      <w:pPr>
        <w:tabs>
          <w:tab w:val="left" w:pos="6660"/>
        </w:tabs>
        <w:jc w:val="center"/>
        <w:outlineLvl w:val="0"/>
        <w:rPr>
          <w:rFonts w:ascii="方正小标宋简体" w:hAnsi="宋体" w:eastAsia="方正小标宋简体" w:cs="方正小标宋简体"/>
          <w:color w:val="000000"/>
          <w:sz w:val="44"/>
          <w:szCs w:val="44"/>
        </w:rPr>
      </w:pPr>
      <w:bookmarkStart w:id="1" w:name="_GoBack"/>
      <w:r>
        <w:rPr>
          <w:rFonts w:ascii="方正小标宋简体" w:hAnsi="宋体" w:eastAsia="方正小标宋简体" w:cs="方正小标宋简体"/>
          <w:color w:val="000000"/>
          <w:sz w:val="44"/>
          <w:szCs w:val="44"/>
        </w:rPr>
        <w:fldChar w:fldCharType="begin"/>
      </w:r>
      <w:r>
        <w:rPr>
          <w:rFonts w:ascii="方正小标宋简体" w:hAnsi="宋体" w:eastAsia="方正小标宋简体" w:cs="方正小标宋简体"/>
          <w:color w:val="000000"/>
          <w:sz w:val="44"/>
          <w:szCs w:val="44"/>
        </w:rPr>
        <w:instrText xml:space="preserve">ADDIN CNKISM.UserStyle</w:instrText>
      </w:r>
      <w:r>
        <w:rPr>
          <w:rFonts w:ascii="方正小标宋简体" w:hAnsi="宋体" w:eastAsia="方正小标宋简体" w:cs="方正小标宋简体"/>
          <w:color w:val="000000"/>
          <w:sz w:val="44"/>
          <w:szCs w:val="44"/>
        </w:rPr>
        <w:fldChar w:fldCharType="end"/>
      </w:r>
      <w:r>
        <w:rPr>
          <w:rFonts w:hint="eastAsia" w:ascii="方正小标宋简体" w:hAnsi="宋体" w:eastAsia="方正小标宋简体" w:cs="方正小标宋简体"/>
          <w:color w:val="000000"/>
          <w:sz w:val="44"/>
          <w:szCs w:val="44"/>
        </w:rPr>
        <w:t>《深圳经济特区社会信用条例（征求意见稿）》</w:t>
      </w:r>
    </w:p>
    <w:p>
      <w:pPr>
        <w:tabs>
          <w:tab w:val="left" w:pos="6660"/>
        </w:tabs>
        <w:jc w:val="center"/>
        <w:outlineLvl w:val="0"/>
        <w:rPr>
          <w:rFonts w:ascii="方正小标宋简体" w:hAnsi="宋体" w:eastAsia="方正小标宋简体" w:cs="方正小标宋简体"/>
          <w:color w:val="000000"/>
          <w:sz w:val="44"/>
          <w:szCs w:val="44"/>
        </w:rPr>
      </w:pPr>
      <w:r>
        <w:rPr>
          <w:rFonts w:hint="eastAsia" w:ascii="方正小标宋简体" w:hAnsi="宋体" w:eastAsia="方正小标宋简体" w:cs="方正小标宋简体"/>
          <w:color w:val="000000"/>
          <w:sz w:val="44"/>
          <w:szCs w:val="44"/>
        </w:rPr>
        <w:t>各部门、各区以及公开征求意见采纳情况一览表</w:t>
      </w:r>
    </w:p>
    <w:bookmarkEnd w:id="1"/>
    <w:p>
      <w:pPr>
        <w:tabs>
          <w:tab w:val="left" w:pos="6660"/>
        </w:tabs>
        <w:jc w:val="center"/>
        <w:outlineLvl w:val="0"/>
        <w:rPr>
          <w:rFonts w:ascii="仿宋_GB2312"/>
          <w:color w:val="000000"/>
          <w:kern w:val="0"/>
          <w:sz w:val="28"/>
          <w:szCs w:val="28"/>
        </w:rPr>
      </w:pPr>
    </w:p>
    <w:p>
      <w:pPr>
        <w:spacing w:line="500" w:lineRule="exact"/>
        <w:ind w:firstLine="640" w:firstLineChars="200"/>
        <w:jc w:val="left"/>
        <w:rPr>
          <w:rFonts w:ascii="仿宋_GB2312" w:cs="仿宋_GB2312"/>
          <w:color w:val="000000"/>
          <w:kern w:val="0"/>
          <w:szCs w:val="28"/>
        </w:rPr>
      </w:pPr>
      <w:r>
        <w:rPr>
          <w:rFonts w:hint="eastAsia" w:ascii="仿宋_GB2312"/>
          <w:color w:val="000000"/>
          <w:kern w:val="0"/>
          <w:szCs w:val="28"/>
        </w:rPr>
        <w:t>2021</w:t>
      </w:r>
      <w:r>
        <w:rPr>
          <w:rFonts w:hint="eastAsia" w:ascii="仿宋_GB2312" w:cs="仿宋_GB2312"/>
          <w:color w:val="000000"/>
          <w:kern w:val="0"/>
          <w:szCs w:val="28"/>
        </w:rPr>
        <w:t>年</w:t>
      </w:r>
      <w:r>
        <w:rPr>
          <w:rFonts w:hint="eastAsia" w:ascii="仿宋_GB2312"/>
          <w:color w:val="000000"/>
          <w:kern w:val="0"/>
          <w:szCs w:val="28"/>
        </w:rPr>
        <w:t>7</w:t>
      </w:r>
      <w:r>
        <w:rPr>
          <w:rFonts w:hint="eastAsia" w:ascii="仿宋_GB2312" w:cs="仿宋_GB2312"/>
          <w:color w:val="000000"/>
          <w:kern w:val="0"/>
          <w:szCs w:val="28"/>
        </w:rPr>
        <w:t>月9日，市司法局就《深圳经济特区社会信用条例（征求意见稿）》的内容及起草说明书面征求各有关单位的意见，并通过市司法局官网公开征求社会公众意见；7月20日，组织各意见单位进行协调。截至</w:t>
      </w:r>
      <w:r>
        <w:rPr>
          <w:rFonts w:hint="eastAsia" w:ascii="仿宋_GB2312"/>
          <w:color w:val="000000"/>
          <w:kern w:val="0"/>
          <w:szCs w:val="28"/>
        </w:rPr>
        <w:t>2021</w:t>
      </w:r>
      <w:r>
        <w:rPr>
          <w:rFonts w:hint="eastAsia" w:ascii="仿宋_GB2312" w:cs="仿宋_GB2312"/>
          <w:color w:val="000000"/>
          <w:kern w:val="0"/>
          <w:szCs w:val="28"/>
        </w:rPr>
        <w:t>年</w:t>
      </w:r>
      <w:r>
        <w:rPr>
          <w:rFonts w:hint="eastAsia" w:ascii="仿宋_GB2312"/>
          <w:color w:val="000000"/>
          <w:kern w:val="0"/>
          <w:szCs w:val="28"/>
        </w:rPr>
        <w:t>8</w:t>
      </w:r>
      <w:r>
        <w:rPr>
          <w:rFonts w:hint="eastAsia" w:ascii="仿宋_GB2312" w:cs="仿宋_GB2312"/>
          <w:color w:val="000000"/>
          <w:kern w:val="0"/>
          <w:szCs w:val="28"/>
        </w:rPr>
        <w:t>月6日，收集到21家单位反馈的修改意见共57条，其中采纳41条，部分采纳4条，解释说明12条；39家单位无意见，6家单位未回复书面意见；社会公众反馈的修改意见3条,采纳2条,解释说明1条。</w:t>
      </w:r>
    </w:p>
    <w:p>
      <w:pPr>
        <w:spacing w:line="500" w:lineRule="exact"/>
        <w:ind w:firstLine="960" w:firstLineChars="300"/>
        <w:jc w:val="left"/>
        <w:rPr>
          <w:rFonts w:ascii="仿宋_GB2312" w:cs="仿宋_GB2312"/>
          <w:color w:val="000000"/>
          <w:kern w:val="0"/>
          <w:szCs w:val="28"/>
        </w:rPr>
      </w:pPr>
    </w:p>
    <w:p>
      <w:pPr>
        <w:rPr>
          <w:color w:val="000000"/>
        </w:rPr>
      </w:pPr>
    </w:p>
    <w:p>
      <w:pPr>
        <w:rPr>
          <w:color w:val="000000"/>
        </w:rPr>
      </w:pPr>
    </w:p>
    <w:p>
      <w:pPr>
        <w:rPr>
          <w:color w:val="000000"/>
        </w:rPr>
      </w:pPr>
    </w:p>
    <w:p>
      <w:pPr>
        <w:rPr>
          <w:color w:val="000000"/>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2552"/>
        <w:gridCol w:w="8079"/>
        <w:gridCol w:w="2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line="340" w:lineRule="exact"/>
              <w:jc w:val="center"/>
              <w:rPr>
                <w:rFonts w:ascii="仿宋_GB2312"/>
                <w:b/>
                <w:bCs/>
                <w:color w:val="000000"/>
                <w:sz w:val="28"/>
                <w:szCs w:val="28"/>
              </w:rPr>
            </w:pPr>
            <w:r>
              <w:rPr>
                <w:rFonts w:hint="eastAsia" w:ascii="仿宋_GB2312" w:hAnsi="宋体" w:cs="黑体"/>
                <w:b/>
                <w:bCs/>
                <w:color w:val="000000"/>
                <w:sz w:val="28"/>
                <w:szCs w:val="28"/>
              </w:rPr>
              <w:t>序号</w:t>
            </w:r>
          </w:p>
        </w:tc>
        <w:tc>
          <w:tcPr>
            <w:tcW w:w="2552" w:type="dxa"/>
            <w:noWrap w:val="0"/>
            <w:vAlign w:val="center"/>
          </w:tcPr>
          <w:p>
            <w:pPr>
              <w:spacing w:line="340" w:lineRule="exact"/>
              <w:jc w:val="center"/>
              <w:rPr>
                <w:rFonts w:ascii="仿宋_GB2312" w:hAnsi="宋体"/>
                <w:b/>
                <w:bCs/>
                <w:color w:val="000000"/>
                <w:sz w:val="28"/>
                <w:szCs w:val="28"/>
              </w:rPr>
            </w:pPr>
            <w:r>
              <w:rPr>
                <w:rFonts w:hint="eastAsia" w:ascii="仿宋_GB2312" w:hAnsi="宋体" w:cs="黑体"/>
                <w:b/>
                <w:bCs/>
                <w:color w:val="000000"/>
                <w:sz w:val="28"/>
                <w:szCs w:val="28"/>
              </w:rPr>
              <w:t>反馈单位</w:t>
            </w:r>
          </w:p>
        </w:tc>
        <w:tc>
          <w:tcPr>
            <w:tcW w:w="8079" w:type="dxa"/>
            <w:noWrap w:val="0"/>
            <w:vAlign w:val="center"/>
          </w:tcPr>
          <w:p>
            <w:pPr>
              <w:adjustRightInd w:val="0"/>
              <w:snapToGrid w:val="0"/>
              <w:spacing w:after="156" w:afterLines="50" w:line="340" w:lineRule="exact"/>
              <w:jc w:val="center"/>
              <w:rPr>
                <w:rFonts w:ascii="仿宋_GB2312" w:hAnsi="宋体"/>
                <w:b/>
                <w:bCs/>
                <w:color w:val="000000"/>
                <w:sz w:val="28"/>
                <w:szCs w:val="28"/>
              </w:rPr>
            </w:pPr>
            <w:r>
              <w:rPr>
                <w:rFonts w:hint="eastAsia" w:ascii="仿宋_GB2312" w:hAnsi="宋体" w:cs="黑体"/>
                <w:b/>
                <w:bCs/>
                <w:color w:val="000000"/>
                <w:sz w:val="28"/>
                <w:szCs w:val="28"/>
              </w:rPr>
              <w:t>修改意见和建议</w:t>
            </w:r>
          </w:p>
        </w:tc>
        <w:tc>
          <w:tcPr>
            <w:tcW w:w="2726" w:type="dxa"/>
            <w:noWrap w:val="0"/>
            <w:vAlign w:val="center"/>
          </w:tcPr>
          <w:p>
            <w:pPr>
              <w:adjustRightInd w:val="0"/>
              <w:snapToGrid w:val="0"/>
              <w:spacing w:after="156" w:afterLines="50" w:line="340" w:lineRule="exact"/>
              <w:jc w:val="center"/>
              <w:rPr>
                <w:rFonts w:ascii="仿宋_GB2312" w:hAnsi="宋体"/>
                <w:b/>
                <w:bCs/>
                <w:color w:val="000000"/>
                <w:sz w:val="28"/>
                <w:szCs w:val="28"/>
              </w:rPr>
            </w:pPr>
            <w:r>
              <w:rPr>
                <w:rFonts w:hint="eastAsia" w:ascii="仿宋_GB2312" w:hAnsi="宋体" w:cs="黑体"/>
                <w:b/>
                <w:bCs/>
                <w:color w:val="000000"/>
                <w:sz w:val="28"/>
                <w:szCs w:val="28"/>
              </w:rPr>
              <w:t>采纳情况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trPr>
        <w:tc>
          <w:tcPr>
            <w:tcW w:w="817" w:type="dxa"/>
            <w:tcBorders>
              <w:bottom w:val="single" w:color="auto" w:sz="4" w:space="0"/>
            </w:tcBorders>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1</w:t>
            </w:r>
          </w:p>
        </w:tc>
        <w:tc>
          <w:tcPr>
            <w:tcW w:w="2552" w:type="dxa"/>
            <w:tcBorders>
              <w:bottom w:val="single" w:color="auto" w:sz="4" w:space="0"/>
            </w:tcBorders>
            <w:noWrap w:val="0"/>
            <w:vAlign w:val="center"/>
          </w:tcPr>
          <w:p>
            <w:pPr>
              <w:spacing w:line="340" w:lineRule="exact"/>
              <w:jc w:val="center"/>
              <w:rPr>
                <w:rFonts w:ascii="仿宋_GB2312"/>
                <w:color w:val="000000"/>
                <w:sz w:val="28"/>
                <w:szCs w:val="28"/>
              </w:rPr>
            </w:pPr>
            <w:r>
              <w:rPr>
                <w:rFonts w:hint="eastAsia" w:ascii="仿宋_GB2312"/>
                <w:b/>
                <w:bCs/>
                <w:color w:val="000000"/>
                <w:sz w:val="28"/>
                <w:szCs w:val="28"/>
              </w:rPr>
              <w:t>中共深圳市纪委办公厅</w:t>
            </w:r>
          </w:p>
        </w:tc>
        <w:tc>
          <w:tcPr>
            <w:tcW w:w="8079" w:type="dxa"/>
            <w:tcBorders>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建议：将第七十五条“由主管部门或者纪检监察部门责令改正”修改为“由主管部门或者监察机关责令改正”。</w:t>
            </w:r>
          </w:p>
        </w:tc>
        <w:tc>
          <w:tcPr>
            <w:tcW w:w="2726" w:type="dxa"/>
            <w:tcBorders>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817" w:type="dxa"/>
            <w:tcBorders>
              <w:top w:val="single" w:color="auto" w:sz="4" w:space="0"/>
              <w:bottom w:val="single" w:color="auto" w:sz="4" w:space="0"/>
            </w:tcBorders>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2</w:t>
            </w:r>
          </w:p>
        </w:tc>
        <w:tc>
          <w:tcPr>
            <w:tcW w:w="2552" w:type="dxa"/>
            <w:tcBorders>
              <w:top w:val="single" w:color="auto" w:sz="4" w:space="0"/>
              <w:bottom w:val="single" w:color="auto" w:sz="4" w:space="0"/>
            </w:tcBorders>
            <w:noWrap w:val="0"/>
            <w:vAlign w:val="center"/>
          </w:tcPr>
          <w:p>
            <w:pPr>
              <w:spacing w:line="340" w:lineRule="exact"/>
              <w:jc w:val="center"/>
              <w:rPr>
                <w:rFonts w:ascii="仿宋_GB2312"/>
                <w:color w:val="000000"/>
                <w:sz w:val="28"/>
                <w:szCs w:val="28"/>
              </w:rPr>
            </w:pPr>
            <w:r>
              <w:rPr>
                <w:rFonts w:hint="eastAsia" w:ascii="仿宋_GB2312" w:hAnsi="宋体" w:cs="仿宋_GB2312"/>
                <w:b/>
                <w:bCs/>
                <w:color w:val="000000"/>
                <w:sz w:val="28"/>
                <w:szCs w:val="28"/>
              </w:rPr>
              <w:t>市委网信办</w:t>
            </w: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关于第13条“本市人民政府建立合法、安全、高效的信用信息跨境流转机制。在深港科技创新合作区建设信用信息跨境交流自由港”，数据跨境流动工作涉及国家事权，且还在探索阶段，不宜写入地方立法。相关表述曾在《深圳经济特区数据条例》草稿中出现，后根据中央网信办指导意见删除。综上，建议本条例中本条亦做删除处理。</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：经协调会上与该单位协商一致，</w:t>
            </w:r>
            <w:r>
              <w:rPr>
                <w:rFonts w:ascii="仿宋_GB2312"/>
                <w:color w:val="000000"/>
                <w:sz w:val="28"/>
                <w:szCs w:val="28"/>
              </w:rPr>
              <w:t>优化相关表述</w:t>
            </w:r>
            <w:r>
              <w:rPr>
                <w:rFonts w:hint="eastAsia" w:ascii="仿宋_GB2312"/>
                <w:color w:val="000000"/>
                <w:sz w:val="28"/>
                <w:szCs w:val="28"/>
              </w:rPr>
              <w:t>，避免涉及国家事权相关内容。已修改表述为“河套深港科技创新合作区和前海蛇口自由贸易试验片区应当加强区域信用交流合作，推动信用互认等信用机制共建。”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817" w:type="dxa"/>
            <w:tcBorders>
              <w:top w:val="single" w:color="auto" w:sz="4" w:space="0"/>
            </w:tcBorders>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3</w:t>
            </w:r>
          </w:p>
        </w:tc>
        <w:tc>
          <w:tcPr>
            <w:tcW w:w="2552" w:type="dxa"/>
            <w:tcBorders>
              <w:top w:val="single" w:color="auto" w:sz="4" w:space="0"/>
            </w:tcBorders>
            <w:noWrap w:val="0"/>
            <w:vAlign w:val="center"/>
          </w:tcPr>
          <w:p>
            <w:pPr>
              <w:spacing w:line="340" w:lineRule="exact"/>
              <w:jc w:val="center"/>
              <w:rPr>
                <w:rFonts w:ascii="仿宋_GB2312" w:hAnsi="宋体" w:cs="仿宋_GB2312"/>
                <w:b/>
                <w:bCs/>
                <w:color w:val="000000"/>
                <w:sz w:val="28"/>
                <w:szCs w:val="28"/>
              </w:rPr>
            </w:pPr>
            <w:r>
              <w:rPr>
                <w:rFonts w:hint="eastAsia" w:ascii="仿宋_GB2312" w:hAnsi="宋体" w:cs="仿宋_GB2312"/>
                <w:b/>
                <w:bCs/>
                <w:color w:val="000000"/>
                <w:sz w:val="28"/>
                <w:szCs w:val="28"/>
              </w:rPr>
              <w:t>市发展改革委</w:t>
            </w:r>
          </w:p>
        </w:tc>
        <w:tc>
          <w:tcPr>
            <w:tcW w:w="8079" w:type="dxa"/>
            <w:tcBorders>
              <w:top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关于“第十八条【列入目录的违法失信信息】”，建议增加“经相关主管部门认定违反专项资金管理规定的失信信息”内容，以加强和规范财政专项资金管理，促进财政专项资金依法依规合理使用。</w:t>
            </w:r>
          </w:p>
        </w:tc>
        <w:tc>
          <w:tcPr>
            <w:tcW w:w="2726" w:type="dxa"/>
            <w:tcBorders>
              <w:top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部分采纳</w:t>
            </w:r>
            <w:r>
              <w:rPr>
                <w:rFonts w:hint="eastAsia" w:ascii="仿宋_GB2312"/>
                <w:color w:val="000000"/>
                <w:sz w:val="28"/>
                <w:szCs w:val="28"/>
              </w:rPr>
              <w:t>：经协调会上与该单位协商一致，已增加一项，</w:t>
            </w:r>
            <w:r>
              <w:rPr>
                <w:rFonts w:ascii="仿宋_GB2312"/>
                <w:color w:val="000000"/>
                <w:sz w:val="28"/>
                <w:szCs w:val="28"/>
              </w:rPr>
              <w:t>明确为违反法律</w:t>
            </w:r>
            <w:r>
              <w:rPr>
                <w:rFonts w:hint="eastAsia" w:ascii="仿宋_GB2312"/>
                <w:color w:val="000000"/>
                <w:sz w:val="28"/>
                <w:szCs w:val="28"/>
              </w:rPr>
              <w:t>、</w:t>
            </w:r>
            <w:r>
              <w:rPr>
                <w:rFonts w:ascii="仿宋_GB2312"/>
                <w:color w:val="000000"/>
                <w:sz w:val="28"/>
                <w:szCs w:val="28"/>
              </w:rPr>
              <w:t>法规有关专项资金管理的规定的信息</w:t>
            </w:r>
            <w:r>
              <w:rPr>
                <w:rFonts w:hint="eastAsia" w:ascii="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4</w:t>
            </w:r>
          </w:p>
        </w:tc>
        <w:tc>
          <w:tcPr>
            <w:tcW w:w="2552" w:type="dxa"/>
            <w:noWrap w:val="0"/>
            <w:vAlign w:val="center"/>
          </w:tcPr>
          <w:p>
            <w:pPr>
              <w:spacing w:line="340" w:lineRule="exact"/>
              <w:jc w:val="center"/>
              <w:rPr>
                <w:rFonts w:ascii="仿宋_GB2312"/>
                <w:color w:val="000000"/>
                <w:sz w:val="28"/>
                <w:szCs w:val="28"/>
              </w:rPr>
            </w:pPr>
            <w:r>
              <w:rPr>
                <w:rFonts w:hint="eastAsia" w:ascii="仿宋_GB2312"/>
                <w:b/>
                <w:bCs/>
                <w:color w:val="000000"/>
                <w:sz w:val="28"/>
                <w:szCs w:val="28"/>
              </w:rPr>
              <w:t>市公安局</w:t>
            </w:r>
          </w:p>
        </w:tc>
        <w:tc>
          <w:tcPr>
            <w:tcW w:w="8079" w:type="dxa"/>
            <w:noWrap w:val="0"/>
            <w:vAlign w:val="top"/>
          </w:tcPr>
          <w:p>
            <w:pPr>
              <w:spacing w:line="340" w:lineRule="exact"/>
              <w:rPr>
                <w:rFonts w:ascii="仿宋_GB2312"/>
                <w:color w:val="000000"/>
                <w:sz w:val="28"/>
                <w:szCs w:val="28"/>
              </w:rPr>
            </w:pPr>
            <w:r>
              <w:rPr>
                <w:rFonts w:hint="eastAsia" w:ascii="仿宋_GB2312"/>
                <w:color w:val="000000"/>
                <w:sz w:val="28"/>
                <w:szCs w:val="28"/>
              </w:rPr>
              <w:t>建议：删除《深圳经济特区社会信用条例（征求意见稿）》第十八条第三项。</w:t>
            </w:r>
          </w:p>
          <w:p>
            <w:pPr>
              <w:spacing w:line="340" w:lineRule="exact"/>
              <w:rPr>
                <w:rFonts w:ascii="仿宋_GB2312"/>
                <w:color w:val="000000"/>
                <w:sz w:val="28"/>
                <w:szCs w:val="28"/>
              </w:rPr>
            </w:pPr>
            <w:r>
              <w:rPr>
                <w:rFonts w:hint="eastAsia" w:ascii="仿宋_GB2312"/>
                <w:color w:val="000000"/>
                <w:sz w:val="28"/>
                <w:szCs w:val="28"/>
              </w:rPr>
              <w:t>理由：最高人民法院、最高人民检察院、公安部、国家安全部、司法部《关于建立犯罪人员犯罪记录制度的意见》（法发〔2012〕10号）对“规范犯罪人员信息查询机制”“建立未成年人犯罪记录封存制度”等进行了严格规定，如：公安机关、国家安全机关、人民检察院和司法行政机关分别负责受理、审核和处理有关犯罪记录的查询申请，上述机关在向社会提供犯罪信息查询服务时，应当严格依照法律法规关于升学、入伍、就业等资格、条件的规定进行；对于犯罪时不满十八周岁，被判处五年有期徒刑以下刑罚的未成年人的犯罪记录，应当予以封存。犯罪记录被封存后，不得向任何单位和个人提供，但司法机关为办案需要或者有关单位根据国家规定进行查询的除外。</w:t>
            </w:r>
          </w:p>
        </w:tc>
        <w:tc>
          <w:tcPr>
            <w:tcW w:w="2726" w:type="dxa"/>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：已予以删除。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3" w:hRule="atLeast"/>
        </w:trPr>
        <w:tc>
          <w:tcPr>
            <w:tcW w:w="817" w:type="dxa"/>
            <w:tcBorders>
              <w:bottom w:val="single" w:color="auto" w:sz="4" w:space="0"/>
            </w:tcBorders>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5</w:t>
            </w:r>
          </w:p>
        </w:tc>
        <w:tc>
          <w:tcPr>
            <w:tcW w:w="2552" w:type="dxa"/>
            <w:tcBorders>
              <w:bottom w:val="single" w:color="auto" w:sz="4" w:space="0"/>
            </w:tcBorders>
            <w:noWrap w:val="0"/>
            <w:vAlign w:val="center"/>
          </w:tcPr>
          <w:p>
            <w:pPr>
              <w:spacing w:line="340" w:lineRule="exact"/>
              <w:jc w:val="center"/>
              <w:rPr>
                <w:rFonts w:ascii="仿宋_GB2312"/>
                <w:b/>
                <w:bCs/>
                <w:color w:val="000000"/>
                <w:sz w:val="28"/>
                <w:szCs w:val="28"/>
              </w:rPr>
            </w:pPr>
            <w:r>
              <w:rPr>
                <w:rFonts w:hint="eastAsia" w:ascii="仿宋_GB2312"/>
                <w:b/>
                <w:bCs/>
                <w:color w:val="000000"/>
                <w:sz w:val="28"/>
                <w:szCs w:val="28"/>
              </w:rPr>
              <w:t>市民政局</w:t>
            </w:r>
          </w:p>
          <w:p>
            <w:pPr>
              <w:spacing w:line="340" w:lineRule="exact"/>
              <w:jc w:val="center"/>
              <w:rPr>
                <w:rFonts w:ascii="仿宋_GB2312"/>
                <w:b/>
                <w:color w:val="000000"/>
                <w:sz w:val="28"/>
                <w:szCs w:val="28"/>
              </w:rPr>
            </w:pPr>
            <w:r>
              <w:rPr>
                <w:rFonts w:hint="eastAsia" w:ascii="仿宋_GB2312"/>
                <w:b/>
                <w:color w:val="000000"/>
                <w:sz w:val="28"/>
                <w:szCs w:val="28"/>
              </w:rPr>
              <w:t>（含市社会组织管理局）</w:t>
            </w:r>
          </w:p>
        </w:tc>
        <w:tc>
          <w:tcPr>
            <w:tcW w:w="8079" w:type="dxa"/>
            <w:tcBorders>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第23页，第五十四条“信用社会组织开展行业自律管理和服务，履行下列职责”中“信用社会组织”概念不明确，建议进一步予以明确，并对其履行职责进行相应修改，以增强条例的可操作性。</w:t>
            </w:r>
          </w:p>
        </w:tc>
        <w:tc>
          <w:tcPr>
            <w:tcW w:w="2726" w:type="dxa"/>
            <w:tcBorders>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w:t>
            </w:r>
            <w:r>
              <w:rPr>
                <w:rFonts w:ascii="仿宋_GB2312"/>
                <w:color w:val="000000"/>
                <w:sz w:val="28"/>
                <w:szCs w:val="28"/>
              </w:rPr>
              <w:t>修改相关表述</w:t>
            </w:r>
            <w:r>
              <w:rPr>
                <w:rFonts w:hint="eastAsia" w:ascii="仿宋_GB2312"/>
                <w:color w:val="000000"/>
                <w:sz w:val="28"/>
                <w:szCs w:val="28"/>
              </w:rPr>
              <w:t>为有关信用行业的社会组织。</w:t>
            </w:r>
          </w:p>
          <w:p>
            <w:pPr>
              <w:spacing w:line="340" w:lineRule="exact"/>
              <w:jc w:val="left"/>
              <w:rPr>
                <w:rFonts w:ascii="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817" w:type="dxa"/>
            <w:tcBorders>
              <w:top w:val="single" w:color="auto" w:sz="4" w:space="0"/>
            </w:tcBorders>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6</w:t>
            </w:r>
          </w:p>
        </w:tc>
        <w:tc>
          <w:tcPr>
            <w:tcW w:w="2552" w:type="dxa"/>
            <w:tcBorders>
              <w:top w:val="single" w:color="auto" w:sz="4" w:space="0"/>
            </w:tcBorders>
            <w:noWrap w:val="0"/>
            <w:vAlign w:val="center"/>
          </w:tcPr>
          <w:p>
            <w:pPr>
              <w:spacing w:line="340" w:lineRule="exact"/>
              <w:jc w:val="center"/>
              <w:rPr>
                <w:rFonts w:ascii="仿宋_GB2312" w:hAnsi="宋体" w:cs="仿宋_GB2312"/>
                <w:b/>
                <w:bCs/>
                <w:color w:val="000000"/>
                <w:sz w:val="28"/>
                <w:szCs w:val="28"/>
              </w:rPr>
            </w:pPr>
            <w:r>
              <w:rPr>
                <w:rFonts w:hint="eastAsia" w:ascii="仿宋_GB2312" w:hAnsi="宋体" w:cs="仿宋_GB2312"/>
                <w:b/>
                <w:bCs/>
                <w:color w:val="000000"/>
                <w:sz w:val="28"/>
                <w:szCs w:val="28"/>
              </w:rPr>
              <w:t>市财政局</w:t>
            </w:r>
          </w:p>
        </w:tc>
        <w:tc>
          <w:tcPr>
            <w:tcW w:w="8079" w:type="dxa"/>
            <w:tcBorders>
              <w:top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第十条提出“市、区人民政府（含新区管理机构）应当设立社会信用体系建设议事协调机构.</w:t>
            </w:r>
            <w:r>
              <w:rPr>
                <w:rFonts w:ascii="仿宋_GB2312"/>
                <w:color w:val="000000"/>
                <w:sz w:val="28"/>
                <w:szCs w:val="28"/>
              </w:rPr>
              <w:t>.....为社会信用体系建设提供相应保障</w:t>
            </w:r>
            <w:r>
              <w:rPr>
                <w:rFonts w:hint="eastAsia" w:ascii="仿宋_GB2312"/>
                <w:color w:val="000000"/>
                <w:sz w:val="28"/>
                <w:szCs w:val="28"/>
              </w:rPr>
              <w:t>”，但在第四十五条又提出“政府有关部门.</w:t>
            </w:r>
            <w:r>
              <w:rPr>
                <w:rFonts w:ascii="仿宋_GB2312"/>
                <w:color w:val="000000"/>
                <w:sz w:val="28"/>
                <w:szCs w:val="28"/>
              </w:rPr>
              <w:t>.....向信用服务机构购买信用产品或服务</w:t>
            </w:r>
            <w:r>
              <w:rPr>
                <w:rFonts w:hint="eastAsia" w:ascii="仿宋_GB2312"/>
                <w:color w:val="000000"/>
                <w:sz w:val="28"/>
                <w:szCs w:val="28"/>
              </w:rPr>
              <w:t>”，针对这一内容，我局在市场监管局前两次征求意见时就提出，市政府既要为社会信用体系建设提供相应保障，又要出资购买信用服务，这是不合理的，建议修改相关内容。</w:t>
            </w:r>
          </w:p>
        </w:tc>
        <w:tc>
          <w:tcPr>
            <w:tcW w:w="2726" w:type="dxa"/>
            <w:tcBorders>
              <w:top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：已删除</w:t>
            </w:r>
            <w:r>
              <w:rPr>
                <w:rFonts w:ascii="仿宋_GB2312"/>
                <w:color w:val="000000"/>
                <w:sz w:val="28"/>
                <w:szCs w:val="28"/>
              </w:rPr>
              <w:t>购买服务相关表述</w:t>
            </w:r>
            <w:r>
              <w:rPr>
                <w:rFonts w:hint="eastAsia" w:ascii="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817" w:type="dxa"/>
            <w:vMerge w:val="restart"/>
            <w:tcBorders>
              <w:top w:val="single" w:color="auto" w:sz="4" w:space="0"/>
            </w:tcBorders>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7</w:t>
            </w:r>
          </w:p>
        </w:tc>
        <w:tc>
          <w:tcPr>
            <w:tcW w:w="2552" w:type="dxa"/>
            <w:vMerge w:val="restart"/>
            <w:tcBorders>
              <w:top w:val="single" w:color="auto" w:sz="4" w:space="0"/>
            </w:tcBorders>
            <w:noWrap w:val="0"/>
            <w:vAlign w:val="center"/>
          </w:tcPr>
          <w:p>
            <w:pPr>
              <w:spacing w:line="340" w:lineRule="exact"/>
              <w:jc w:val="center"/>
              <w:rPr>
                <w:rFonts w:ascii="仿宋_GB2312" w:hAnsi="宋体" w:cs="仿宋_GB2312"/>
                <w:b/>
                <w:bCs/>
                <w:color w:val="000000"/>
                <w:sz w:val="28"/>
                <w:szCs w:val="28"/>
              </w:rPr>
            </w:pPr>
            <w:r>
              <w:rPr>
                <w:rFonts w:hint="eastAsia" w:ascii="仿宋_GB2312" w:hAnsi="宋体" w:cs="仿宋_GB2312"/>
                <w:b/>
                <w:bCs/>
                <w:color w:val="000000"/>
                <w:sz w:val="28"/>
                <w:szCs w:val="28"/>
              </w:rPr>
              <w:t>市规划和自然资源局（含市城市更新和土地整备局）</w:t>
            </w:r>
          </w:p>
        </w:tc>
        <w:tc>
          <w:tcPr>
            <w:tcW w:w="8079" w:type="dxa"/>
            <w:tcBorders>
              <w:top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一 、关于《社会信用条例》第二十三条第二款的规定，建议修改为“查询自然人家庭住址、收入数额、存款、有价证券、不动产信息......”。</w:t>
            </w:r>
          </w:p>
          <w:p>
            <w:pPr>
              <w:spacing w:line="340" w:lineRule="exact"/>
              <w:rPr>
                <w:rFonts w:ascii="仿宋_GB2312"/>
                <w:color w:val="000000"/>
                <w:sz w:val="28"/>
                <w:szCs w:val="28"/>
              </w:rPr>
            </w:pPr>
            <w:r>
              <w:rPr>
                <w:rFonts w:hint="eastAsia" w:ascii="仿宋_GB2312"/>
                <w:color w:val="000000"/>
                <w:sz w:val="28"/>
                <w:szCs w:val="28"/>
              </w:rPr>
              <w:t xml:space="preserve"> 理由：《不动产登记暂行条例》（以下简称《暂行条例》）第二十五至第二十八条、《不动产登记暂行条例实施细则》第九十七条和第九十八条规定，国家实行不动产登记资料依法查询制度，权利人、利害关系人、有关机关等可以依法查询相关不动产登记资料，涉及国家秘密的不动产登记资料的查询，按照保守国家秘密法的有关规定的执行；相关部门亦可通过信息共享的方式查询获取相关不动产登记信息。因此，《社会信用条例》中市公共信用机构可依据上述规定通过不同的方式向不动产登记机构查询相关不动产登记信息。</w:t>
            </w:r>
          </w:p>
        </w:tc>
        <w:tc>
          <w:tcPr>
            <w:tcW w:w="2726" w:type="dxa"/>
            <w:tcBorders>
              <w:top w:val="single" w:color="auto" w:sz="4" w:space="0"/>
            </w:tcBorders>
            <w:noWrap w:val="0"/>
            <w:vAlign w:val="center"/>
          </w:tcPr>
          <w:p>
            <w:pPr>
              <w:spacing w:line="340" w:lineRule="exact"/>
              <w:jc w:val="left"/>
              <w:rPr>
                <w:rFonts w:ascii="仿宋_GB2312"/>
                <w:color w:val="000000"/>
                <w:sz w:val="28"/>
                <w:szCs w:val="28"/>
              </w:rPr>
            </w:pPr>
            <w:r>
              <w:rPr>
                <w:rFonts w:hint="eastAsia" w:ascii="仿宋_GB2312"/>
                <w:color w:val="000000"/>
                <w:sz w:val="28"/>
                <w:szCs w:val="28"/>
              </w:rPr>
              <w:t>部分采纳：已删除不动产信息。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817" w:type="dxa"/>
            <w:vMerge w:val="continue"/>
            <w:noWrap w:val="0"/>
            <w:vAlign w:val="center"/>
          </w:tcPr>
          <w:p>
            <w:pPr>
              <w:spacing w:line="340" w:lineRule="exact"/>
              <w:jc w:val="center"/>
              <w:rPr>
                <w:rFonts w:ascii="仿宋_GB2312"/>
                <w:b/>
                <w:color w:val="000000"/>
                <w:sz w:val="28"/>
                <w:szCs w:val="28"/>
              </w:rPr>
            </w:pPr>
          </w:p>
        </w:tc>
        <w:tc>
          <w:tcPr>
            <w:tcW w:w="2552" w:type="dxa"/>
            <w:vMerge w:val="continue"/>
            <w:noWrap w:val="0"/>
            <w:vAlign w:val="center"/>
          </w:tcPr>
          <w:p>
            <w:pPr>
              <w:spacing w:line="340" w:lineRule="exact"/>
              <w:jc w:val="center"/>
              <w:rPr>
                <w:rFonts w:ascii="仿宋_GB2312" w:hAnsi="宋体" w:cs="仿宋_GB2312"/>
                <w:b/>
                <w:bCs/>
                <w:color w:val="000000"/>
                <w:sz w:val="28"/>
                <w:szCs w:val="28"/>
              </w:rPr>
            </w:pPr>
          </w:p>
        </w:tc>
        <w:tc>
          <w:tcPr>
            <w:tcW w:w="8079" w:type="dxa"/>
            <w:tcBorders>
              <w:top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二 、关于《社会信用条例》第二十三条第三款的规定，建议予以删除。</w:t>
            </w:r>
          </w:p>
          <w:p>
            <w:pPr>
              <w:spacing w:line="340" w:lineRule="exact"/>
              <w:rPr>
                <w:rFonts w:ascii="仿宋_GB2312"/>
                <w:color w:val="000000"/>
                <w:sz w:val="28"/>
                <w:szCs w:val="28"/>
              </w:rPr>
            </w:pPr>
            <w:r>
              <w:rPr>
                <w:rFonts w:hint="eastAsia" w:ascii="仿宋_GB2312"/>
                <w:color w:val="000000"/>
                <w:sz w:val="28"/>
                <w:szCs w:val="28"/>
              </w:rPr>
              <w:t>理由：1.根据第一款规定，信息采集经信用主体同意，没有必要再行告知。2.信息采集为市公共信用机构、信用服务机构，信用主体的授权由其负责。3.现不动产权利人在办理转移登记时多数授权委托给房地产中介公司来登记机构申请，在不动产转移登记申请表上的联系方式基本不是权利人本人的联系方式，登记机构无法直接联系到权利人。</w:t>
            </w:r>
          </w:p>
        </w:tc>
        <w:tc>
          <w:tcPr>
            <w:tcW w:w="2726" w:type="dxa"/>
            <w:tcBorders>
              <w:top w:val="single" w:color="auto" w:sz="4" w:space="0"/>
            </w:tcBorders>
            <w:noWrap w:val="0"/>
            <w:vAlign w:val="center"/>
          </w:tcPr>
          <w:p>
            <w:pPr>
              <w:spacing w:line="340" w:lineRule="exact"/>
              <w:jc w:val="left"/>
              <w:rPr>
                <w:rFonts w:ascii="仿宋_GB2312"/>
                <w:color w:val="000000"/>
                <w:sz w:val="28"/>
                <w:szCs w:val="28"/>
              </w:rPr>
            </w:pPr>
            <w:r>
              <w:rPr>
                <w:rFonts w:hint="eastAsia" w:ascii="仿宋_GB2312"/>
                <w:color w:val="000000"/>
                <w:sz w:val="28"/>
                <w:szCs w:val="28"/>
              </w:rPr>
              <w:t>采纳：该款已删除。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817" w:type="dxa"/>
            <w:vMerge w:val="restart"/>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8</w:t>
            </w:r>
          </w:p>
        </w:tc>
        <w:tc>
          <w:tcPr>
            <w:tcW w:w="2552" w:type="dxa"/>
            <w:vMerge w:val="restart"/>
            <w:noWrap w:val="0"/>
            <w:vAlign w:val="center"/>
          </w:tcPr>
          <w:p>
            <w:pPr>
              <w:spacing w:line="340" w:lineRule="exact"/>
              <w:jc w:val="center"/>
              <w:rPr>
                <w:rFonts w:ascii="仿宋_GB2312"/>
                <w:color w:val="000000"/>
                <w:sz w:val="28"/>
                <w:szCs w:val="28"/>
              </w:rPr>
            </w:pPr>
            <w:r>
              <w:rPr>
                <w:rFonts w:hint="eastAsia" w:ascii="仿宋_GB2312"/>
                <w:b/>
                <w:bCs/>
                <w:color w:val="000000"/>
                <w:sz w:val="28"/>
                <w:szCs w:val="28"/>
              </w:rPr>
              <w:t>市住房建设局</w:t>
            </w:r>
          </w:p>
        </w:tc>
        <w:tc>
          <w:tcPr>
            <w:tcW w:w="8079" w:type="dxa"/>
            <w:tcBorders>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一、</w:t>
            </w:r>
            <w:r>
              <w:rPr>
                <w:rFonts w:hint="eastAsia" w:ascii="仿宋_GB2312"/>
                <w:b/>
                <w:color w:val="000000"/>
                <w:sz w:val="28"/>
                <w:szCs w:val="28"/>
              </w:rPr>
              <w:t>建议：</w:t>
            </w:r>
            <w:r>
              <w:rPr>
                <w:rFonts w:hint="eastAsia" w:ascii="仿宋_GB2312"/>
                <w:color w:val="000000"/>
                <w:sz w:val="28"/>
                <w:szCs w:val="28"/>
              </w:rPr>
              <w:t>第十八条“（八）经相关主管部门依法认定欠缴税款、社会保险费、行政事业性收费、政府性基金数额较大的”，</w:t>
            </w:r>
            <w:r>
              <w:rPr>
                <w:rFonts w:hint="eastAsia" w:ascii="仿宋_GB2312"/>
                <w:b/>
                <w:color w:val="000000"/>
                <w:sz w:val="28"/>
                <w:szCs w:val="28"/>
              </w:rPr>
              <w:t>修改为</w:t>
            </w:r>
            <w:r>
              <w:rPr>
                <w:rFonts w:hint="eastAsia" w:ascii="仿宋_GB2312"/>
                <w:color w:val="000000"/>
                <w:sz w:val="28"/>
                <w:szCs w:val="28"/>
              </w:rPr>
              <w:t>“经相关主管部门依法认定欠缴税款、社会保险费、住房公积金、行政事业性收费、政府性基金数额较大的”。</w:t>
            </w:r>
          </w:p>
          <w:p>
            <w:pPr>
              <w:spacing w:line="340" w:lineRule="exact"/>
              <w:rPr>
                <w:rFonts w:ascii="仿宋_GB2312"/>
                <w:color w:val="000000"/>
                <w:sz w:val="28"/>
                <w:szCs w:val="28"/>
              </w:rPr>
            </w:pPr>
            <w:r>
              <w:rPr>
                <w:rFonts w:hint="eastAsia" w:ascii="仿宋_GB2312"/>
                <w:b/>
                <w:color w:val="000000"/>
                <w:sz w:val="28"/>
                <w:szCs w:val="28"/>
              </w:rPr>
              <w:t>建议：</w:t>
            </w:r>
            <w:r>
              <w:rPr>
                <w:rFonts w:hint="eastAsia" w:ascii="仿宋_GB2312"/>
                <w:color w:val="000000"/>
                <w:sz w:val="28"/>
                <w:szCs w:val="28"/>
              </w:rPr>
              <w:t>第十八条“（十）在行政许可、行政确认、行政登记等行政管理活动中提交虚假材料，隐瞒真实情况的”</w:t>
            </w:r>
            <w:r>
              <w:rPr>
                <w:rFonts w:hint="eastAsia" w:ascii="仿宋_GB2312"/>
                <w:b/>
                <w:color w:val="000000"/>
                <w:sz w:val="28"/>
                <w:szCs w:val="28"/>
              </w:rPr>
              <w:t>修改为</w:t>
            </w:r>
            <w:r>
              <w:rPr>
                <w:rFonts w:hint="eastAsia" w:ascii="仿宋_GB2312"/>
                <w:color w:val="000000"/>
                <w:sz w:val="28"/>
                <w:szCs w:val="28"/>
              </w:rPr>
              <w:t>“在行政许可、行政确认、行政登记、行政服务等行政管理活动中提交虚假材料，隐瞒真实情况的”。</w:t>
            </w:r>
          </w:p>
          <w:p>
            <w:pPr>
              <w:spacing w:line="340" w:lineRule="exact"/>
              <w:rPr>
                <w:rFonts w:ascii="仿宋_GB2312"/>
                <w:color w:val="000000"/>
                <w:sz w:val="28"/>
                <w:szCs w:val="28"/>
              </w:rPr>
            </w:pPr>
            <w:r>
              <w:rPr>
                <w:rFonts w:hint="eastAsia" w:ascii="仿宋_GB2312"/>
                <w:b/>
                <w:color w:val="000000"/>
                <w:sz w:val="28"/>
                <w:szCs w:val="28"/>
              </w:rPr>
              <w:t>理由：</w:t>
            </w:r>
            <w:r>
              <w:rPr>
                <w:rFonts w:hint="eastAsia" w:ascii="仿宋_GB2312"/>
                <w:color w:val="000000"/>
                <w:sz w:val="28"/>
                <w:szCs w:val="28"/>
              </w:rPr>
              <w:t>因住房公积金制度实施过程中，存在部分缴存单位不按规定缴存或者缴存职工隐瞒真实情况、提供虚假材料等违规提取或者使用住房公积金等情况，为规范管理住房公积金缴存，建议将公积金中心认定的涉及住房公积金违法欠缴的失信行为及缴存职工隐瞒真实情况、提供虚假材料违规提取或者使用住房公积金的失信行为纳入违法失信行为信息目录，为住房公积金缴存管理过程认定失信名单目录提供法规依据。</w:t>
            </w:r>
          </w:p>
        </w:tc>
        <w:tc>
          <w:tcPr>
            <w:tcW w:w="2726" w:type="dxa"/>
            <w:tcBorders>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部分采纳</w:t>
            </w:r>
            <w:r>
              <w:rPr>
                <w:rFonts w:hint="eastAsia" w:ascii="仿宋_GB2312"/>
                <w:color w:val="000000"/>
                <w:sz w:val="28"/>
                <w:szCs w:val="28"/>
              </w:rPr>
              <w:t>：已增加住房公积金事项；经协调会上与该单位协商一致，关于行政服务，已采取兜底表述（等行政管理活动），行政服务已包含在内，且行政管理活动还包括行政强制、行政给付等多种类型，故不再过多列举。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二、</w:t>
            </w:r>
            <w:r>
              <w:rPr>
                <w:rFonts w:hint="eastAsia" w:ascii="仿宋_GB2312"/>
                <w:b/>
                <w:color w:val="000000"/>
                <w:sz w:val="28"/>
                <w:szCs w:val="28"/>
              </w:rPr>
              <w:t>建议：</w:t>
            </w:r>
            <w:r>
              <w:rPr>
                <w:rFonts w:hint="eastAsia" w:ascii="仿宋_GB2312"/>
                <w:color w:val="000000"/>
                <w:sz w:val="28"/>
                <w:szCs w:val="28"/>
              </w:rPr>
              <w:t>第十八条“违反市场监管或行业管理相关法规、准则或者监管协议，被市场监管或行业主管部门认定为失信行为或列入失信名单的”，</w:t>
            </w:r>
            <w:r>
              <w:rPr>
                <w:rFonts w:hint="eastAsia" w:ascii="仿宋_GB2312"/>
                <w:b/>
                <w:color w:val="000000"/>
                <w:sz w:val="28"/>
                <w:szCs w:val="28"/>
              </w:rPr>
              <w:t>修改为</w:t>
            </w:r>
            <w:r>
              <w:rPr>
                <w:rFonts w:hint="eastAsia" w:ascii="仿宋_GB2312"/>
                <w:color w:val="000000"/>
                <w:sz w:val="28"/>
                <w:szCs w:val="28"/>
              </w:rPr>
              <w:t>“违反市场监管或行业管理相关法律法规、准则、监管协议等，被市场监管或行业主管部门认定为失信行为或列入失信名单的”。</w:t>
            </w:r>
          </w:p>
          <w:p>
            <w:pPr>
              <w:spacing w:line="340" w:lineRule="exact"/>
              <w:rPr>
                <w:rFonts w:ascii="仿宋_GB2312"/>
                <w:color w:val="000000"/>
                <w:sz w:val="28"/>
                <w:szCs w:val="28"/>
              </w:rPr>
            </w:pPr>
            <w:r>
              <w:rPr>
                <w:rFonts w:hint="eastAsia" w:ascii="仿宋_GB2312"/>
                <w:b/>
                <w:color w:val="000000"/>
                <w:sz w:val="28"/>
                <w:szCs w:val="28"/>
              </w:rPr>
              <w:t>理由：</w:t>
            </w:r>
            <w:r>
              <w:rPr>
                <w:rFonts w:hint="eastAsia" w:ascii="仿宋_GB2312"/>
                <w:color w:val="000000"/>
                <w:sz w:val="28"/>
                <w:szCs w:val="28"/>
              </w:rPr>
              <w:t>对于违反相关法律法规和行业管理规范的行为，情节轻微未达到处罚标准的，应认定为失信行为信息以强化监管；同时涉及行业部门较多，在认定依据上应有一定的拓展空间。</w:t>
            </w:r>
          </w:p>
        </w:tc>
        <w:tc>
          <w:tcPr>
            <w:tcW w:w="2726" w:type="dxa"/>
            <w:tcBorders>
              <w:top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解释说明</w:t>
            </w:r>
            <w:r>
              <w:rPr>
                <w:rFonts w:hint="eastAsia" w:ascii="仿宋_GB2312"/>
                <w:color w:val="000000"/>
                <w:sz w:val="28"/>
                <w:szCs w:val="28"/>
              </w:rPr>
              <w:t>：根据《国务院办公厅关于进一步完善失信约束制度构建诚信建设长效机制的指导意见》，失信主体名单的认定需要有明确的法律法规或者党中央国务院依据，因此不宜拓展认定依据。（该情况已与该单位在协调会上协调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17" w:type="dxa"/>
            <w:vMerge w:val="restart"/>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9</w:t>
            </w:r>
          </w:p>
        </w:tc>
        <w:tc>
          <w:tcPr>
            <w:tcW w:w="2552" w:type="dxa"/>
            <w:vMerge w:val="restart"/>
            <w:noWrap w:val="0"/>
            <w:vAlign w:val="center"/>
          </w:tcPr>
          <w:p>
            <w:pPr>
              <w:spacing w:line="340" w:lineRule="exact"/>
              <w:jc w:val="center"/>
              <w:rPr>
                <w:rFonts w:ascii="仿宋_GB2312"/>
                <w:color w:val="000000"/>
                <w:sz w:val="28"/>
                <w:szCs w:val="28"/>
              </w:rPr>
            </w:pPr>
            <w:r>
              <w:rPr>
                <w:rFonts w:hint="eastAsia" w:ascii="仿宋_GB2312"/>
                <w:b/>
                <w:bCs/>
                <w:color w:val="000000"/>
                <w:sz w:val="28"/>
                <w:szCs w:val="28"/>
              </w:rPr>
              <w:t>市卫生健康委</w:t>
            </w:r>
          </w:p>
        </w:tc>
        <w:tc>
          <w:tcPr>
            <w:tcW w:w="8079" w:type="dxa"/>
            <w:tcBorders>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一、第七条规定“市、区有关部门应当健全决策机制，推进政务公开，建立健全政务诚信档案，将依法行政、履约践诺情况、推进社会信用体系建设等工作纳入政府绩效评估体系。”政府绩效评估的内容由市、区政府制定，建议明确各部门是否有权将相关事项纳入政府绩效的评估内容。</w:t>
            </w:r>
          </w:p>
        </w:tc>
        <w:tc>
          <w:tcPr>
            <w:tcW w:w="2726" w:type="dxa"/>
            <w:tcBorders>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w:t>
            </w:r>
            <w:r>
              <w:rPr>
                <w:rFonts w:ascii="仿宋_GB2312"/>
                <w:color w:val="000000"/>
                <w:sz w:val="28"/>
                <w:szCs w:val="28"/>
              </w:rPr>
              <w:t>修改相关表述</w:t>
            </w:r>
            <w:r>
              <w:rPr>
                <w:rFonts w:hint="eastAsia" w:ascii="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二、第五十九条规定“信用主体申请行政复议或者起诉期间，市公共信用机构、信用服务机构、信息提供单位应当暂停对外披露和共享相关信用信息，但是法律、行政法规、规章和规范性文件另有规定的除外。”《中华人民共和国行政复议法》第二十一条规定，行政复议期间具体行政行为不停止执行，但有具体相关情形的可以停止执行。建议信用主体申请行政复议或者起诉期间，市公共信用机构、信用服务机构、信息提供单位不暂停对外披露和共享相关信用信息，但是法律、行政法规、规章和规范性文件另有规定的除外。</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三、建议增加市公共信用信息管理系统与各单位相关信息平台互联互通的内容，以便于数据抓取及使用。</w:t>
            </w:r>
          </w:p>
        </w:tc>
        <w:tc>
          <w:tcPr>
            <w:tcW w:w="2726" w:type="dxa"/>
            <w:tcBorders>
              <w:top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解释说明</w:t>
            </w:r>
            <w:r>
              <w:rPr>
                <w:rFonts w:hint="eastAsia" w:ascii="仿宋_GB2312"/>
                <w:color w:val="000000"/>
                <w:sz w:val="28"/>
                <w:szCs w:val="28"/>
              </w:rPr>
              <w:t>：</w:t>
            </w:r>
            <w:r>
              <w:rPr>
                <w:rFonts w:ascii="仿宋_GB2312"/>
                <w:color w:val="000000"/>
                <w:sz w:val="28"/>
                <w:szCs w:val="28"/>
              </w:rPr>
              <w:t>已有关相关规定</w:t>
            </w:r>
            <w:r>
              <w:rPr>
                <w:rFonts w:hint="eastAsia" w:ascii="仿宋_GB2312"/>
                <w:color w:val="000000"/>
                <w:sz w:val="28"/>
                <w:szCs w:val="28"/>
              </w:rPr>
              <w:t>。（该情况已与该单位在协调会上协调一致。）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10</w:t>
            </w:r>
          </w:p>
        </w:tc>
        <w:tc>
          <w:tcPr>
            <w:tcW w:w="2552" w:type="dxa"/>
            <w:noWrap w:val="0"/>
            <w:vAlign w:val="center"/>
          </w:tcPr>
          <w:p>
            <w:pPr>
              <w:spacing w:line="340" w:lineRule="exact"/>
              <w:jc w:val="center"/>
              <w:rPr>
                <w:rFonts w:ascii="仿宋_GB2312"/>
                <w:b/>
                <w:bCs/>
                <w:color w:val="000000"/>
                <w:sz w:val="28"/>
                <w:szCs w:val="28"/>
              </w:rPr>
            </w:pPr>
            <w:r>
              <w:rPr>
                <w:rFonts w:hint="eastAsia" w:ascii="仿宋_GB2312"/>
                <w:b/>
                <w:bCs/>
                <w:color w:val="000000"/>
                <w:sz w:val="28"/>
                <w:szCs w:val="28"/>
              </w:rPr>
              <w:t>市应急管理局</w:t>
            </w:r>
          </w:p>
          <w:p>
            <w:pPr>
              <w:spacing w:line="340" w:lineRule="exact"/>
              <w:jc w:val="center"/>
              <w:rPr>
                <w:rFonts w:ascii="仿宋_GB2312"/>
                <w:color w:val="000000"/>
                <w:sz w:val="28"/>
                <w:szCs w:val="28"/>
              </w:rPr>
            </w:pPr>
          </w:p>
        </w:tc>
        <w:tc>
          <w:tcPr>
            <w:tcW w:w="8079" w:type="dxa"/>
            <w:noWrap w:val="0"/>
            <w:vAlign w:val="top"/>
          </w:tcPr>
          <w:p>
            <w:pPr>
              <w:spacing w:line="340" w:lineRule="exact"/>
              <w:rPr>
                <w:rFonts w:ascii="仿宋_GB2312"/>
                <w:color w:val="000000"/>
                <w:sz w:val="28"/>
                <w:szCs w:val="28"/>
              </w:rPr>
            </w:pPr>
            <w:r>
              <w:rPr>
                <w:rFonts w:hint="eastAsia" w:ascii="仿宋_GB2312"/>
                <w:b/>
                <w:color w:val="000000"/>
                <w:sz w:val="28"/>
                <w:szCs w:val="28"/>
              </w:rPr>
              <w:t>建议：</w:t>
            </w:r>
            <w:r>
              <w:rPr>
                <w:rFonts w:hint="eastAsia" w:ascii="仿宋_GB2312"/>
                <w:color w:val="000000"/>
                <w:sz w:val="28"/>
                <w:szCs w:val="28"/>
              </w:rPr>
              <w:t>将第三十六条第二款：“受理异议的机构应当在受理异议申请之日对异议信息加以标注，直至异议处理完成，并自异议标注或者更正之日起三个工作日内通知信用信息共享单位”修改为“受理异议的机构应当在受理异议申请之日对异议信息加以标注，直至异议处理完成，并自异议标注或者更正之日起三个工作日内通知市公共信用机构。”</w:t>
            </w:r>
          </w:p>
          <w:p>
            <w:pPr>
              <w:spacing w:line="340" w:lineRule="exact"/>
              <w:rPr>
                <w:rFonts w:ascii="仿宋_GB2312"/>
                <w:color w:val="000000"/>
                <w:sz w:val="28"/>
                <w:szCs w:val="28"/>
              </w:rPr>
            </w:pPr>
            <w:r>
              <w:rPr>
                <w:rFonts w:hint="eastAsia" w:ascii="仿宋_GB2312"/>
                <w:b/>
                <w:color w:val="000000"/>
                <w:sz w:val="28"/>
                <w:szCs w:val="28"/>
              </w:rPr>
              <w:t>理由：</w:t>
            </w:r>
            <w:r>
              <w:rPr>
                <w:rFonts w:hint="eastAsia" w:ascii="仿宋_GB2312"/>
                <w:color w:val="000000"/>
                <w:sz w:val="28"/>
                <w:szCs w:val="28"/>
              </w:rPr>
              <w:t>信息共享单位是通过市公共信用数据平台共享信用信息的，受理异议的机构不可能一一通知信息共享单位。</w:t>
            </w:r>
          </w:p>
        </w:tc>
        <w:tc>
          <w:tcPr>
            <w:tcW w:w="2726" w:type="dxa"/>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w:t>
            </w:r>
            <w:r>
              <w:rPr>
                <w:rFonts w:ascii="仿宋_GB2312"/>
                <w:color w:val="000000"/>
                <w:sz w:val="28"/>
                <w:szCs w:val="28"/>
              </w:rPr>
              <w:t>优化表述</w:t>
            </w:r>
            <w:r>
              <w:rPr>
                <w:rFonts w:hint="eastAsia" w:ascii="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817" w:type="dxa"/>
            <w:tcBorders>
              <w:bottom w:val="single" w:color="auto" w:sz="4" w:space="0"/>
            </w:tcBorders>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11</w:t>
            </w:r>
          </w:p>
        </w:tc>
        <w:tc>
          <w:tcPr>
            <w:tcW w:w="2552" w:type="dxa"/>
            <w:tcBorders>
              <w:bottom w:val="single" w:color="auto" w:sz="4" w:space="0"/>
            </w:tcBorders>
            <w:noWrap w:val="0"/>
            <w:vAlign w:val="center"/>
          </w:tcPr>
          <w:p>
            <w:pPr>
              <w:spacing w:line="340" w:lineRule="exact"/>
              <w:jc w:val="center"/>
              <w:rPr>
                <w:rFonts w:ascii="仿宋_GB2312"/>
                <w:color w:val="000000"/>
                <w:sz w:val="28"/>
                <w:szCs w:val="28"/>
              </w:rPr>
            </w:pPr>
            <w:r>
              <w:rPr>
                <w:rFonts w:hint="eastAsia" w:ascii="仿宋_GB2312"/>
                <w:b/>
                <w:bCs/>
                <w:color w:val="000000"/>
                <w:sz w:val="28"/>
                <w:szCs w:val="28"/>
              </w:rPr>
              <w:t>市地方金融监管局</w:t>
            </w:r>
          </w:p>
        </w:tc>
        <w:tc>
          <w:tcPr>
            <w:tcW w:w="8079" w:type="dxa"/>
            <w:tcBorders>
              <w:bottom w:val="single" w:color="auto" w:sz="4" w:space="0"/>
            </w:tcBorders>
            <w:noWrap w:val="0"/>
            <w:vAlign w:val="top"/>
          </w:tcPr>
          <w:p>
            <w:pPr>
              <w:spacing w:line="340" w:lineRule="exact"/>
              <w:rPr>
                <w:rFonts w:ascii="仿宋_GB2312"/>
                <w:color w:val="000000"/>
                <w:sz w:val="28"/>
                <w:szCs w:val="28"/>
              </w:rPr>
            </w:pPr>
            <w:r>
              <w:rPr>
                <w:rFonts w:hint="eastAsia" w:ascii="仿宋_GB2312"/>
                <w:b/>
                <w:bCs/>
                <w:color w:val="000000"/>
                <w:sz w:val="28"/>
                <w:szCs w:val="28"/>
              </w:rPr>
              <w:t>建议</w:t>
            </w:r>
            <w:r>
              <w:rPr>
                <w:rFonts w:hint="eastAsia" w:ascii="仿宋_GB2312"/>
                <w:color w:val="000000"/>
                <w:sz w:val="28"/>
                <w:szCs w:val="28"/>
              </w:rPr>
              <w:t>将第五十二条第二款“人民银行、</w:t>
            </w:r>
            <w:bookmarkStart w:id="0" w:name="OLE_LINK1"/>
            <w:r>
              <w:rPr>
                <w:rFonts w:hint="eastAsia" w:ascii="仿宋_GB2312"/>
                <w:color w:val="000000"/>
                <w:sz w:val="28"/>
                <w:szCs w:val="28"/>
              </w:rPr>
              <w:t>地方金融行政管理部门</w:t>
            </w:r>
            <w:bookmarkEnd w:id="0"/>
            <w:r>
              <w:rPr>
                <w:rFonts w:hint="eastAsia" w:ascii="仿宋_GB2312"/>
                <w:color w:val="000000"/>
                <w:sz w:val="28"/>
                <w:szCs w:val="28"/>
              </w:rPr>
              <w:t>在法律、法规规定范围内对征信机构和相关信用服务机构开展业务实施监督管理”修改为：“中国人民银行及其派出机构依法对征信机构进行监督管理。国家金融监管部门及其派出机构、地方金融监督管理部门在法律、法规规定范围内对金融相关信用服务机构开展业务实施监督管理。”</w:t>
            </w:r>
          </w:p>
          <w:p>
            <w:pPr>
              <w:spacing w:line="340" w:lineRule="exact"/>
              <w:rPr>
                <w:rFonts w:ascii="仿宋_GB2312"/>
                <w:color w:val="000000"/>
                <w:sz w:val="28"/>
                <w:szCs w:val="28"/>
              </w:rPr>
            </w:pPr>
            <w:r>
              <w:rPr>
                <w:rFonts w:hint="eastAsia" w:ascii="仿宋_GB2312"/>
                <w:b/>
                <w:bCs/>
                <w:color w:val="000000"/>
                <w:sz w:val="28"/>
                <w:szCs w:val="28"/>
              </w:rPr>
              <w:t>理由</w:t>
            </w:r>
            <w:r>
              <w:rPr>
                <w:rFonts w:hint="eastAsia" w:ascii="仿宋_GB2312"/>
                <w:color w:val="000000"/>
                <w:sz w:val="28"/>
                <w:szCs w:val="28"/>
              </w:rPr>
              <w:t>：</w:t>
            </w:r>
            <w:r>
              <w:rPr>
                <w:rFonts w:hint="eastAsia" w:ascii="仿宋_GB2312"/>
                <w:b/>
                <w:bCs/>
                <w:color w:val="000000"/>
                <w:sz w:val="28"/>
                <w:szCs w:val="28"/>
              </w:rPr>
              <w:t>一是</w:t>
            </w:r>
            <w:r>
              <w:rPr>
                <w:rFonts w:hint="eastAsia" w:ascii="仿宋_GB2312"/>
                <w:color w:val="000000"/>
                <w:sz w:val="28"/>
                <w:szCs w:val="28"/>
              </w:rPr>
              <w:t>根据《征信业管理条例》，中国人民银行及其派出机构依法对征信业进行监督管理，为避免与上位法冲突或产生歧义，建议明确征信机构的监管责任部门。</w:t>
            </w:r>
            <w:r>
              <w:rPr>
                <w:rFonts w:hint="eastAsia" w:ascii="仿宋_GB2312"/>
                <w:b/>
                <w:bCs/>
                <w:color w:val="000000"/>
                <w:sz w:val="28"/>
                <w:szCs w:val="28"/>
              </w:rPr>
              <w:t>二是</w:t>
            </w:r>
            <w:r>
              <w:rPr>
                <w:rFonts w:hint="eastAsia" w:ascii="仿宋_GB2312"/>
                <w:color w:val="000000"/>
                <w:sz w:val="28"/>
                <w:szCs w:val="28"/>
              </w:rPr>
              <w:t>金融机构在监管上有中央事权和地方事权之分，国家金融监管部门及其派出机构依法负责对持牌金融机构的监管，我局依法负责对地方金融机构的监管，建议本款加入国家金融监管部门，同时明确本款针对主体是金融相关的信用服务机构。</w:t>
            </w:r>
          </w:p>
        </w:tc>
        <w:tc>
          <w:tcPr>
            <w:tcW w:w="2726" w:type="dxa"/>
            <w:tcBorders>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。经协调会上与该单位协商一致，已修改</w:t>
            </w:r>
            <w:r>
              <w:rPr>
                <w:rFonts w:ascii="仿宋_GB2312"/>
                <w:color w:val="000000"/>
                <w:sz w:val="28"/>
                <w:szCs w:val="28"/>
              </w:rPr>
              <w:t>相关内容</w:t>
            </w:r>
            <w:r>
              <w:rPr>
                <w:rFonts w:hint="eastAsia" w:ascii="仿宋_GB2312"/>
                <w:color w:val="000000"/>
                <w:sz w:val="28"/>
                <w:szCs w:val="28"/>
              </w:rPr>
              <w:t>，</w:t>
            </w:r>
            <w:r>
              <w:rPr>
                <w:rFonts w:ascii="仿宋_GB2312"/>
                <w:color w:val="000000"/>
                <w:sz w:val="28"/>
                <w:szCs w:val="28"/>
              </w:rPr>
              <w:t>仅进行原则性表述</w:t>
            </w:r>
            <w:r>
              <w:rPr>
                <w:rFonts w:hint="eastAsia" w:ascii="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trPr>
        <w:tc>
          <w:tcPr>
            <w:tcW w:w="817" w:type="dxa"/>
            <w:vMerge w:val="restart"/>
            <w:tcBorders>
              <w:top w:val="single" w:color="auto" w:sz="4" w:space="0"/>
            </w:tcBorders>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12</w:t>
            </w:r>
          </w:p>
        </w:tc>
        <w:tc>
          <w:tcPr>
            <w:tcW w:w="2552" w:type="dxa"/>
            <w:vMerge w:val="restart"/>
            <w:tcBorders>
              <w:top w:val="single" w:color="auto" w:sz="4" w:space="0"/>
            </w:tcBorders>
            <w:noWrap w:val="0"/>
            <w:vAlign w:val="center"/>
          </w:tcPr>
          <w:p>
            <w:pPr>
              <w:spacing w:line="340" w:lineRule="exact"/>
              <w:jc w:val="center"/>
              <w:rPr>
                <w:rFonts w:ascii="仿宋_GB2312"/>
                <w:b/>
                <w:bCs/>
                <w:color w:val="000000"/>
                <w:sz w:val="28"/>
                <w:szCs w:val="28"/>
              </w:rPr>
            </w:pPr>
            <w:r>
              <w:rPr>
                <w:rFonts w:hint="eastAsia" w:ascii="仿宋_GB2312"/>
                <w:b/>
                <w:color w:val="000000"/>
                <w:sz w:val="28"/>
                <w:szCs w:val="28"/>
              </w:rPr>
              <w:t>市政务服务数据管理局</w:t>
            </w:r>
          </w:p>
        </w:tc>
        <w:tc>
          <w:tcPr>
            <w:tcW w:w="8079" w:type="dxa"/>
            <w:tcBorders>
              <w:top w:val="single" w:color="auto" w:sz="4" w:space="0"/>
              <w:bottom w:val="single" w:color="auto" w:sz="4" w:space="0"/>
            </w:tcBorders>
            <w:noWrap w:val="0"/>
            <w:vAlign w:val="top"/>
          </w:tcPr>
          <w:p>
            <w:pPr>
              <w:spacing w:line="340" w:lineRule="exact"/>
              <w:ind w:firstLine="640"/>
              <w:rPr>
                <w:rFonts w:ascii="仿宋_GB2312" w:hAnsi="仿宋_GB2312" w:cs="仿宋_GB2312"/>
                <w:color w:val="000000"/>
                <w:sz w:val="28"/>
                <w:szCs w:val="28"/>
              </w:rPr>
            </w:pPr>
            <w:r>
              <w:rPr>
                <w:rFonts w:hint="eastAsia" w:ascii="仿宋_GB2312" w:hAnsi="仿宋_GB2312" w:cs="仿宋_GB2312"/>
                <w:color w:val="000000"/>
                <w:sz w:val="28"/>
                <w:szCs w:val="28"/>
              </w:rPr>
              <w:t>一、建议参考《深圳市公共信用信息管理办法》，在总则中明确下文中出现的“市社会信用管理部门”“市政务服务数据管理部门”“市公共信用机构”的职责分工。</w:t>
            </w:r>
          </w:p>
          <w:p>
            <w:pPr>
              <w:spacing w:line="340" w:lineRule="exact"/>
              <w:ind w:firstLine="640"/>
              <w:rPr>
                <w:rFonts w:ascii="仿宋_GB2312" w:hAnsi="仿宋_GB2312" w:cs="仿宋_GB2312"/>
                <w:color w:val="000000"/>
                <w:sz w:val="28"/>
                <w:szCs w:val="28"/>
              </w:rPr>
            </w:pPr>
            <w:r>
              <w:rPr>
                <w:rFonts w:hint="eastAsia" w:ascii="仿宋_GB2312" w:hAnsi="仿宋_GB2312" w:cs="仿宋_GB2312"/>
                <w:color w:val="000000"/>
                <w:sz w:val="28"/>
                <w:szCs w:val="28"/>
              </w:rPr>
              <w:t>理由：起草说明指出，目前我市关于信用信息和数据的管理机构主要包括“深圳市市场监督管理局信用监管处（市信用办）、深圳市市场监督管理局公共信用信息中心以及深圳市政务服务数据管理局电子政务数据中心（应为深圳市大数据资源管理中心）”，但条例（征求意见稿）中并未明确有关管理机构的职责，未能很好解决“信用信息管理权责不清晰”问题。</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。已补充有关职责条款。</w:t>
            </w:r>
          </w:p>
          <w:p>
            <w:pPr>
              <w:spacing w:line="340" w:lineRule="exact"/>
              <w:jc w:val="left"/>
              <w:rPr>
                <w:rFonts w:ascii="仿宋_GB2312"/>
                <w:color w:val="000000"/>
                <w:sz w:val="28"/>
                <w:szCs w:val="28"/>
              </w:rPr>
            </w:pPr>
          </w:p>
          <w:p>
            <w:pPr>
              <w:spacing w:line="340" w:lineRule="exact"/>
              <w:jc w:val="left"/>
              <w:rPr>
                <w:rFonts w:ascii="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17" w:type="dxa"/>
            <w:vMerge w:val="continue"/>
            <w:noWrap w:val="0"/>
            <w:vAlign w:val="center"/>
          </w:tcPr>
          <w:p>
            <w:pPr>
              <w:spacing w:line="340" w:lineRule="exact"/>
              <w:jc w:val="center"/>
              <w:rPr>
                <w:rFonts w:ascii="仿宋_GB2312"/>
                <w:b/>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ind w:firstLine="640"/>
              <w:rPr>
                <w:rFonts w:ascii="仿宋_GB2312" w:hAnsi="仿宋_GB2312" w:cs="仿宋_GB2312"/>
                <w:color w:val="000000"/>
                <w:sz w:val="28"/>
                <w:szCs w:val="28"/>
              </w:rPr>
            </w:pPr>
            <w:r>
              <w:rPr>
                <w:rFonts w:hint="eastAsia" w:ascii="仿宋_GB2312" w:hAnsi="仿宋_GB2312" w:cs="仿宋_GB2312"/>
                <w:color w:val="000000"/>
                <w:sz w:val="28"/>
                <w:szCs w:val="28"/>
              </w:rPr>
              <w:t>二、建议第八条“市公共信用信息管理系统是本市社会信用体系建设的基础平台，依托市政务信息资源共享平台采集、整理、保存本市自然人、法人和其他组织的公共信用信息，并统一向社会披露、共享与应用。”修改为“市公共信用信息管理系统是本市社会信用体系建设的基础平台，依托市政务信息资源共享平台采集、整理、保存本市自然人、法人和其他组织的公共信用信息，并统一向社会披露与应用。”</w:t>
            </w:r>
          </w:p>
          <w:p>
            <w:pPr>
              <w:spacing w:line="340" w:lineRule="exact"/>
              <w:ind w:firstLine="640"/>
              <w:rPr>
                <w:rFonts w:ascii="仿宋_GB2312" w:hAnsi="仿宋_GB2312" w:cs="仿宋_GB2312"/>
                <w:color w:val="000000"/>
                <w:sz w:val="28"/>
                <w:szCs w:val="28"/>
              </w:rPr>
            </w:pPr>
            <w:r>
              <w:rPr>
                <w:rFonts w:hint="eastAsia" w:ascii="仿宋_GB2312" w:hAnsi="仿宋_GB2312" w:cs="仿宋_GB2312"/>
                <w:color w:val="000000"/>
                <w:sz w:val="28"/>
                <w:szCs w:val="28"/>
              </w:rPr>
              <w:t>理由：《深圳市公共信用信息管理办法》（深圳市人民政府令第297号）第七条的规定，“市电子政务资源机构负责本市公共信用信息的归集、交换、共享”；《深圳市人民政府关于印发深圳市政务信息资源共享管理办法的通知》（深府〔2015〕99号）第五条的规定，“市电子政务主管部门负责组织、指导、协调和监督全市信息共享工作”；将于2022年1月1日施行的《深圳经济特区数据条例》规定，公共数据应当通过城市大数据中心的公共数据共享平台共享，因此，建议删除该条款中的“共享”。</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p>
            <w:pPr>
              <w:spacing w:line="340" w:lineRule="exact"/>
              <w:jc w:val="left"/>
              <w:rPr>
                <w:rFonts w:ascii="仿宋_GB2312"/>
                <w:color w:val="000000"/>
                <w:sz w:val="28"/>
                <w:szCs w:val="28"/>
              </w:rPr>
            </w:pPr>
          </w:p>
          <w:p>
            <w:pPr>
              <w:spacing w:line="340" w:lineRule="exact"/>
              <w:jc w:val="left"/>
              <w:rPr>
                <w:rFonts w:ascii="仿宋_GB2312"/>
                <w:color w:val="000000"/>
                <w:sz w:val="28"/>
                <w:szCs w:val="28"/>
              </w:rPr>
            </w:pPr>
          </w:p>
          <w:p>
            <w:pPr>
              <w:spacing w:line="340" w:lineRule="exact"/>
              <w:jc w:val="left"/>
              <w:rPr>
                <w:rFonts w:ascii="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817" w:type="dxa"/>
            <w:vMerge w:val="continue"/>
            <w:noWrap w:val="0"/>
            <w:vAlign w:val="center"/>
          </w:tcPr>
          <w:p>
            <w:pPr>
              <w:spacing w:line="340" w:lineRule="exact"/>
              <w:jc w:val="center"/>
              <w:rPr>
                <w:rFonts w:ascii="仿宋_GB2312"/>
                <w:b/>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ind w:firstLine="640"/>
              <w:rPr>
                <w:rFonts w:ascii="仿宋_GB2312" w:hAnsi="仿宋_GB2312" w:cs="仿宋_GB2312"/>
                <w:color w:val="000000"/>
                <w:sz w:val="28"/>
                <w:szCs w:val="28"/>
              </w:rPr>
            </w:pPr>
            <w:r>
              <w:rPr>
                <w:rFonts w:hint="eastAsia" w:ascii="仿宋_GB2312" w:hAnsi="仿宋_GB2312" w:cs="仿宋_GB2312"/>
                <w:color w:val="000000"/>
                <w:sz w:val="28"/>
                <w:szCs w:val="28"/>
              </w:rPr>
              <w:t>三、建议第十条“市、区社会信用协调机构应当根据社会信用体系工作需要，确定本级政府相关职能部门、司法机关、法律法规授权履行公共管理职责的组织以及供电、供水、供气等公共企业事业单位作为成员单位。”修改为“市、区社会信用协调机构应当根据社会信用体系工作需要，确定本级政府相关职能部门、司法机关、法律法规授权履行公共管理职责的组织以及供电、供水、供气、环境保护、公共交通等公共企业事业单位作为成员单位。”</w:t>
            </w:r>
          </w:p>
          <w:p>
            <w:pPr>
              <w:spacing w:line="340" w:lineRule="exact"/>
              <w:ind w:firstLine="640"/>
              <w:rPr>
                <w:rFonts w:ascii="仿宋_GB2312" w:hAnsi="仿宋_GB2312" w:cs="仿宋_GB2312"/>
                <w:color w:val="000000"/>
                <w:sz w:val="28"/>
                <w:szCs w:val="28"/>
              </w:rPr>
            </w:pPr>
            <w:r>
              <w:rPr>
                <w:rFonts w:hint="eastAsia" w:ascii="仿宋_GB2312" w:hAnsi="仿宋_GB2312" w:cs="仿宋_GB2312"/>
                <w:color w:val="000000"/>
                <w:sz w:val="28"/>
                <w:szCs w:val="28"/>
              </w:rPr>
              <w:t>理由：环境保护、公共交通等公共企业事业单位也是重要的信源单位及联合奖惩措施落实单位。</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hint="eastAsia" w:ascii="仿宋_GB2312"/>
                <w:color w:val="000000"/>
                <w:sz w:val="28"/>
                <w:szCs w:val="28"/>
              </w:rPr>
              <w:t>解释说明。本条已采取兜底表述（等公共企事业单位），</w:t>
            </w:r>
            <w:r>
              <w:rPr>
                <w:rFonts w:hint="eastAsia" w:ascii="仿宋_GB2312" w:hAnsi="仿宋_GB2312" w:cs="仿宋_GB2312"/>
                <w:color w:val="000000"/>
                <w:sz w:val="28"/>
                <w:szCs w:val="28"/>
              </w:rPr>
              <w:t>环境保护、公共交通</w:t>
            </w:r>
            <w:r>
              <w:rPr>
                <w:rFonts w:hint="eastAsia" w:ascii="仿宋_GB2312"/>
                <w:color w:val="000000"/>
                <w:sz w:val="28"/>
                <w:szCs w:val="28"/>
              </w:rPr>
              <w:t>已包含在内，为避免条款过于冗长，故不再过多列举。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817" w:type="dxa"/>
            <w:vMerge w:val="continue"/>
            <w:noWrap w:val="0"/>
            <w:vAlign w:val="center"/>
          </w:tcPr>
          <w:p>
            <w:pPr>
              <w:spacing w:line="340" w:lineRule="exact"/>
              <w:jc w:val="center"/>
              <w:rPr>
                <w:rFonts w:ascii="仿宋_GB2312"/>
                <w:b/>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ind w:firstLine="640"/>
              <w:rPr>
                <w:rFonts w:ascii="仿宋_GB2312" w:hAnsi="仿宋_GB2312" w:cs="仿宋_GB2312"/>
                <w:color w:val="000000"/>
                <w:sz w:val="28"/>
                <w:szCs w:val="28"/>
              </w:rPr>
            </w:pPr>
            <w:r>
              <w:rPr>
                <w:rFonts w:hint="eastAsia" w:ascii="仿宋_GB2312" w:hAnsi="仿宋_GB2312" w:cs="仿宋_GB2312"/>
                <w:color w:val="000000"/>
                <w:sz w:val="28"/>
                <w:szCs w:val="28"/>
              </w:rPr>
              <w:t>四、建议第十一条（一）“市、区人民政府各单位应当加强信用信息安全基础设施建设，研究利用技术手段，不断提升网络安全防护能力，保障信用信息安全。”修改为“市、区人民政府各单位应当加强信用信息安全基础设施建设，研究利用技术手段，不断提升网络安全防护能力，保障信用信息安全、可用。”（二）增加“市政务服务数据管理部门负责统筹建设本市公共信用基础数据库。”</w:t>
            </w:r>
          </w:p>
          <w:p>
            <w:pPr>
              <w:spacing w:line="340" w:lineRule="exact"/>
              <w:ind w:firstLine="640"/>
              <w:rPr>
                <w:rFonts w:ascii="仿宋_GB2312" w:hAnsi="仿宋_GB2312" w:cs="仿宋_GB2312"/>
                <w:color w:val="000000"/>
                <w:sz w:val="28"/>
                <w:szCs w:val="28"/>
              </w:rPr>
            </w:pPr>
            <w:r>
              <w:rPr>
                <w:rFonts w:hint="eastAsia" w:ascii="仿宋_GB2312" w:hAnsi="仿宋_GB2312" w:cs="仿宋_GB2312"/>
                <w:color w:val="000000"/>
                <w:sz w:val="28"/>
                <w:szCs w:val="28"/>
              </w:rPr>
              <w:t>理由：（一）信用信息的安全性、可用性不是同一概念，两者同等重要。（二）根据《深圳经济特区数据条例》第三十五条，“市政务服务数据管理部门负责统筹本市公共数据资源体系整体规划、建设和管理，并会同相关部门建设和管理人口、法人、房屋、自然资源与空间地理、电子证照、公共信用等基础数据库。”</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w:t>
            </w:r>
            <w:r>
              <w:rPr>
                <w:rFonts w:ascii="仿宋_GB2312"/>
                <w:color w:val="000000"/>
                <w:sz w:val="28"/>
                <w:szCs w:val="28"/>
              </w:rPr>
              <w:t>已修改相关内容</w:t>
            </w:r>
            <w:r>
              <w:rPr>
                <w:rFonts w:hint="eastAsia" w:ascii="仿宋_GB2312"/>
                <w:color w:val="000000"/>
                <w:sz w:val="28"/>
                <w:szCs w:val="28"/>
              </w:rPr>
              <w:t>。</w:t>
            </w:r>
          </w:p>
          <w:p>
            <w:pPr>
              <w:spacing w:line="340" w:lineRule="exact"/>
              <w:jc w:val="left"/>
              <w:rPr>
                <w:rFonts w:ascii="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4" w:hRule="atLeast"/>
        </w:trPr>
        <w:tc>
          <w:tcPr>
            <w:tcW w:w="817" w:type="dxa"/>
            <w:vMerge w:val="continue"/>
            <w:noWrap w:val="0"/>
            <w:vAlign w:val="center"/>
          </w:tcPr>
          <w:p>
            <w:pPr>
              <w:spacing w:line="340" w:lineRule="exact"/>
              <w:jc w:val="center"/>
              <w:rPr>
                <w:rFonts w:ascii="仿宋_GB2312"/>
                <w:b/>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ind w:firstLine="640"/>
              <w:rPr>
                <w:rFonts w:ascii="仿宋_GB2312" w:hAnsi="仿宋_GB2312" w:cs="仿宋_GB2312"/>
                <w:color w:val="000000"/>
                <w:sz w:val="28"/>
                <w:szCs w:val="28"/>
              </w:rPr>
            </w:pPr>
            <w:r>
              <w:rPr>
                <w:rFonts w:hint="eastAsia" w:ascii="仿宋_GB2312" w:hAnsi="仿宋_GB2312" w:cs="仿宋_GB2312"/>
                <w:color w:val="000000"/>
                <w:sz w:val="28"/>
                <w:szCs w:val="28"/>
              </w:rPr>
              <w:t>五、建议第十六条“公共信用信息根据目录进行归集。”修改为“市政务服务数据管理部门负责根据目录归集公共信用信息。”</w:t>
            </w:r>
          </w:p>
          <w:p>
            <w:pPr>
              <w:spacing w:line="340" w:lineRule="exact"/>
              <w:ind w:firstLine="640"/>
              <w:rPr>
                <w:rFonts w:ascii="仿宋_GB2312" w:hAnsi="仿宋_GB2312" w:cs="仿宋_GB2312"/>
                <w:color w:val="000000"/>
                <w:sz w:val="28"/>
                <w:szCs w:val="28"/>
              </w:rPr>
            </w:pPr>
            <w:r>
              <w:rPr>
                <w:rFonts w:hint="eastAsia" w:ascii="仿宋_GB2312" w:hAnsi="仿宋_GB2312" w:cs="仿宋_GB2312"/>
                <w:color w:val="000000"/>
                <w:sz w:val="28"/>
                <w:szCs w:val="28"/>
              </w:rPr>
              <w:t>理由：一是继承《深圳市公共信用信息管理办法》相关要求。办法的第七条规定，“市电子政务资源机构负责本市公共信用信息的归集、交换、共享”。二是《深圳经济特区数据条例》第三十五条规定，市政务服务数据管理部门负责统筹公共信用等基础数据库规划、建设和管理。</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0" w:hRule="atLeast"/>
        </w:trPr>
        <w:tc>
          <w:tcPr>
            <w:tcW w:w="817" w:type="dxa"/>
            <w:vMerge w:val="continue"/>
            <w:noWrap w:val="0"/>
            <w:vAlign w:val="center"/>
          </w:tcPr>
          <w:p>
            <w:pPr>
              <w:spacing w:line="340" w:lineRule="exact"/>
              <w:jc w:val="center"/>
              <w:rPr>
                <w:rFonts w:ascii="仿宋_GB2312"/>
                <w:b/>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ind w:firstLine="640"/>
              <w:rPr>
                <w:rFonts w:ascii="仿宋_GB2312" w:hAnsi="仿宋_GB2312" w:cs="仿宋_GB2312"/>
                <w:color w:val="000000"/>
                <w:sz w:val="28"/>
                <w:szCs w:val="28"/>
              </w:rPr>
            </w:pPr>
            <w:r>
              <w:rPr>
                <w:rFonts w:hint="eastAsia" w:ascii="仿宋_GB2312" w:hAnsi="仿宋_GB2312" w:cs="仿宋_GB2312"/>
                <w:color w:val="000000"/>
                <w:sz w:val="28"/>
                <w:szCs w:val="28"/>
              </w:rPr>
              <w:t>六、建议第二十条“市公共信用机构可以采集公共信用信息以外的信用信息”修改为“市公共信用机构可以采集公共信用信息资源目录以外的信用信息”。</w:t>
            </w:r>
          </w:p>
          <w:p>
            <w:pPr>
              <w:spacing w:line="340" w:lineRule="exact"/>
              <w:ind w:firstLine="640"/>
              <w:rPr>
                <w:rFonts w:ascii="仿宋_GB2312" w:hAnsi="仿宋_GB2312" w:cs="仿宋_GB2312"/>
                <w:color w:val="000000"/>
                <w:sz w:val="28"/>
                <w:szCs w:val="28"/>
              </w:rPr>
            </w:pPr>
            <w:r>
              <w:rPr>
                <w:rFonts w:hint="eastAsia" w:ascii="仿宋_GB2312" w:hAnsi="仿宋_GB2312" w:cs="仿宋_GB2312"/>
                <w:color w:val="000000"/>
                <w:sz w:val="28"/>
                <w:szCs w:val="28"/>
              </w:rPr>
              <w:t>理由：根据《深圳经济特区数据条例》，市公共信用机构也是公共管理和服务机构，其在依法履职过程中采集的数据也应属于公共数据。因此，信用信息一旦由市公共信用机构进行采集，就应当自然归为公共信用信息，纳入公共信用信息资源目录进行管理，按照目录进行归集。</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p>
            <w:pPr>
              <w:spacing w:line="340" w:lineRule="exact"/>
              <w:jc w:val="left"/>
              <w:rPr>
                <w:rFonts w:ascii="仿宋_GB2312"/>
                <w:color w:val="000000"/>
                <w:sz w:val="28"/>
                <w:szCs w:val="28"/>
              </w:rPr>
            </w:pPr>
          </w:p>
          <w:p>
            <w:pPr>
              <w:spacing w:line="340" w:lineRule="exact"/>
              <w:jc w:val="left"/>
              <w:rPr>
                <w:rFonts w:ascii="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5" w:hRule="atLeast"/>
        </w:trPr>
        <w:tc>
          <w:tcPr>
            <w:tcW w:w="817" w:type="dxa"/>
            <w:vMerge w:val="continue"/>
            <w:tcBorders>
              <w:bottom w:val="single" w:color="auto" w:sz="4" w:space="0"/>
            </w:tcBorders>
            <w:noWrap w:val="0"/>
            <w:vAlign w:val="center"/>
          </w:tcPr>
          <w:p>
            <w:pPr>
              <w:spacing w:line="340" w:lineRule="exact"/>
              <w:jc w:val="center"/>
              <w:rPr>
                <w:rFonts w:ascii="仿宋_GB2312"/>
                <w:b/>
                <w:color w:val="000000"/>
                <w:sz w:val="28"/>
                <w:szCs w:val="28"/>
              </w:rPr>
            </w:pPr>
          </w:p>
        </w:tc>
        <w:tc>
          <w:tcPr>
            <w:tcW w:w="2552" w:type="dxa"/>
            <w:vMerge w:val="continue"/>
            <w:tcBorders>
              <w:bottom w:val="single" w:color="auto" w:sz="4" w:space="0"/>
            </w:tcBorders>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ind w:firstLine="640"/>
              <w:rPr>
                <w:rFonts w:ascii="仿宋_GB2312" w:hAnsi="仿宋_GB2312" w:cs="仿宋_GB2312"/>
                <w:color w:val="000000"/>
                <w:sz w:val="28"/>
                <w:szCs w:val="28"/>
              </w:rPr>
            </w:pPr>
            <w:r>
              <w:rPr>
                <w:rFonts w:hint="eastAsia" w:ascii="仿宋_GB2312" w:hAnsi="仿宋_GB2312" w:cs="仿宋_GB2312"/>
                <w:color w:val="000000"/>
                <w:sz w:val="28"/>
                <w:szCs w:val="28"/>
              </w:rPr>
              <w:t>七、建议第四十一条“制定信用信息安全管理等方面的管理制度和操作规程，完善内控制度，保障信用数据库的正常运行和信用信息的安全”修改为“制定信用信息安全管理等方面的管理制度和操作规程，开展信用信息分类分级管理，完善内控制度，加强信息使用过程的管理和审计，保障信用数据库正常运行和信用信息安全，防止数据泄露”</w:t>
            </w:r>
          </w:p>
          <w:p>
            <w:pPr>
              <w:spacing w:line="340" w:lineRule="exact"/>
              <w:ind w:firstLine="640"/>
              <w:rPr>
                <w:rFonts w:ascii="仿宋_GB2312" w:hAnsi="仿宋_GB2312" w:cs="仿宋_GB2312"/>
                <w:color w:val="000000"/>
                <w:sz w:val="28"/>
                <w:szCs w:val="28"/>
              </w:rPr>
            </w:pPr>
            <w:r>
              <w:rPr>
                <w:rFonts w:hint="eastAsia" w:ascii="仿宋_GB2312" w:hAnsi="仿宋_GB2312" w:cs="仿宋_GB2312"/>
                <w:color w:val="000000"/>
                <w:sz w:val="28"/>
                <w:szCs w:val="28"/>
              </w:rPr>
              <w:t>理由：补充完善防止数据泄露等措施。</w:t>
            </w:r>
          </w:p>
          <w:p>
            <w:pPr>
              <w:spacing w:line="340" w:lineRule="exact"/>
              <w:ind w:firstLine="640"/>
              <w:rPr>
                <w:rFonts w:ascii="仿宋_GB2312" w:hAnsi="仿宋_GB2312" w:cs="仿宋_GB2312"/>
                <w:color w:val="000000"/>
                <w:sz w:val="28"/>
                <w:szCs w:val="28"/>
              </w:rPr>
            </w:pP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p>
          <w:p>
            <w:pPr>
              <w:spacing w:line="340" w:lineRule="exact"/>
              <w:jc w:val="left"/>
              <w:rPr>
                <w:rFonts w:ascii="仿宋_GB2312"/>
                <w:color w:val="000000"/>
                <w:sz w:val="28"/>
                <w:szCs w:val="28"/>
              </w:rPr>
            </w:pPr>
          </w:p>
          <w:p>
            <w:pPr>
              <w:spacing w:line="340" w:lineRule="exact"/>
              <w:jc w:val="left"/>
              <w:rPr>
                <w:rFonts w:ascii="仿宋_GB2312"/>
                <w:color w:val="000000"/>
                <w:sz w:val="28"/>
                <w:szCs w:val="28"/>
              </w:rPr>
            </w:pPr>
          </w:p>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p>
            <w:pPr>
              <w:spacing w:line="340" w:lineRule="exact"/>
              <w:jc w:val="left"/>
              <w:rPr>
                <w:rFonts w:ascii="仿宋_GB2312"/>
                <w:color w:val="000000"/>
                <w:sz w:val="28"/>
                <w:szCs w:val="28"/>
              </w:rPr>
            </w:pPr>
          </w:p>
          <w:p>
            <w:pPr>
              <w:spacing w:line="340" w:lineRule="exact"/>
              <w:jc w:val="left"/>
              <w:rPr>
                <w:rFonts w:ascii="仿宋_GB2312"/>
                <w:color w:val="000000"/>
                <w:sz w:val="28"/>
                <w:szCs w:val="28"/>
              </w:rPr>
            </w:pPr>
          </w:p>
          <w:p>
            <w:pPr>
              <w:spacing w:line="340" w:lineRule="exact"/>
              <w:jc w:val="left"/>
              <w:rPr>
                <w:rFonts w:ascii="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trPr>
        <w:tc>
          <w:tcPr>
            <w:tcW w:w="817" w:type="dxa"/>
            <w:tcBorders>
              <w:top w:val="single" w:color="auto" w:sz="4" w:space="0"/>
            </w:tcBorders>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13</w:t>
            </w:r>
          </w:p>
        </w:tc>
        <w:tc>
          <w:tcPr>
            <w:tcW w:w="2552" w:type="dxa"/>
            <w:tcBorders>
              <w:top w:val="single" w:color="auto" w:sz="4" w:space="0"/>
            </w:tcBorders>
            <w:noWrap w:val="0"/>
            <w:vAlign w:val="center"/>
          </w:tcPr>
          <w:p>
            <w:pPr>
              <w:spacing w:line="340" w:lineRule="exact"/>
              <w:jc w:val="center"/>
              <w:rPr>
                <w:rFonts w:ascii="仿宋_GB2312"/>
                <w:color w:val="000000"/>
                <w:sz w:val="28"/>
                <w:szCs w:val="28"/>
              </w:rPr>
            </w:pPr>
            <w:r>
              <w:rPr>
                <w:rFonts w:hint="eastAsia" w:ascii="仿宋_GB2312" w:hAnsi="宋体" w:cs="仿宋_GB2312"/>
                <w:b/>
                <w:bCs/>
                <w:color w:val="000000"/>
                <w:sz w:val="28"/>
                <w:szCs w:val="28"/>
              </w:rPr>
              <w:t>深圳市中级人民法院</w:t>
            </w:r>
          </w:p>
        </w:tc>
        <w:tc>
          <w:tcPr>
            <w:tcW w:w="8079" w:type="dxa"/>
            <w:tcBorders>
              <w:top w:val="single" w:color="auto" w:sz="4" w:space="0"/>
            </w:tcBorders>
            <w:noWrap w:val="0"/>
            <w:vAlign w:val="top"/>
          </w:tcPr>
          <w:p>
            <w:pPr>
              <w:spacing w:line="340" w:lineRule="exact"/>
              <w:rPr>
                <w:rFonts w:ascii="仿宋_GB2312" w:hAnsi="仿宋_GB2312" w:cs="仿宋_GB2312"/>
                <w:color w:val="000000"/>
                <w:sz w:val="28"/>
                <w:szCs w:val="28"/>
              </w:rPr>
            </w:pPr>
            <w:r>
              <w:rPr>
                <w:rFonts w:hint="eastAsia" w:ascii="仿宋_GB2312"/>
                <w:color w:val="000000"/>
                <w:sz w:val="28"/>
                <w:szCs w:val="28"/>
              </w:rPr>
              <w:t>第六十一条第一款，“可以在行政处罚信息最短公示期届满后”，建议增加期限限制，变更为“可以在行政处罚信息最短公示期届满后一年内”。</w:t>
            </w:r>
          </w:p>
        </w:tc>
        <w:tc>
          <w:tcPr>
            <w:tcW w:w="2726" w:type="dxa"/>
            <w:tcBorders>
              <w:top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解释说明</w:t>
            </w:r>
            <w:r>
              <w:rPr>
                <w:rFonts w:hint="eastAsia" w:ascii="仿宋_GB2312"/>
                <w:color w:val="000000"/>
                <w:sz w:val="28"/>
                <w:szCs w:val="28"/>
              </w:rPr>
              <w:t>。根据《国务院办公厅关于进一步完善失信约束制度构建诚信建设长效机制的指导意见》，失信主体按照要求纠正失信行为，消除不良影响的，均可申请信用修复，因此为</w:t>
            </w:r>
            <w:r>
              <w:rPr>
                <w:rFonts w:ascii="仿宋_GB2312"/>
                <w:color w:val="000000"/>
                <w:sz w:val="28"/>
                <w:szCs w:val="28"/>
              </w:rPr>
              <w:t>避免限制相对人权益</w:t>
            </w:r>
            <w:r>
              <w:rPr>
                <w:rFonts w:hint="eastAsia" w:ascii="仿宋_GB2312"/>
                <w:color w:val="000000"/>
                <w:sz w:val="28"/>
                <w:szCs w:val="28"/>
              </w:rPr>
              <w:t>，</w:t>
            </w:r>
            <w:r>
              <w:rPr>
                <w:rFonts w:ascii="仿宋_GB2312"/>
                <w:color w:val="000000"/>
                <w:sz w:val="28"/>
                <w:szCs w:val="28"/>
              </w:rPr>
              <w:t>此处不对申请信用修复的期限予以限制规定</w:t>
            </w:r>
            <w:r>
              <w:rPr>
                <w:rFonts w:hint="eastAsia" w:ascii="仿宋_GB2312"/>
                <w:color w:val="000000"/>
                <w:sz w:val="28"/>
                <w:szCs w:val="28"/>
              </w:rPr>
              <w:t>。（该情况已与该单位在协调会上协调一致。）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817" w:type="dxa"/>
            <w:vMerge w:val="restart"/>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14</w:t>
            </w:r>
          </w:p>
        </w:tc>
        <w:tc>
          <w:tcPr>
            <w:tcW w:w="2552" w:type="dxa"/>
            <w:vMerge w:val="restart"/>
            <w:noWrap w:val="0"/>
            <w:vAlign w:val="center"/>
          </w:tcPr>
          <w:p>
            <w:pPr>
              <w:spacing w:line="340" w:lineRule="exact"/>
              <w:jc w:val="center"/>
              <w:rPr>
                <w:rFonts w:ascii="仿宋_GB2312"/>
                <w:b/>
                <w:bCs/>
                <w:color w:val="000000"/>
                <w:sz w:val="28"/>
                <w:szCs w:val="28"/>
              </w:rPr>
            </w:pPr>
            <w:r>
              <w:rPr>
                <w:rFonts w:hint="eastAsia" w:ascii="仿宋_GB2312" w:hAnsi="宋体" w:cs="仿宋_GB2312"/>
                <w:b/>
                <w:bCs/>
                <w:color w:val="000000"/>
                <w:sz w:val="28"/>
                <w:szCs w:val="28"/>
              </w:rPr>
              <w:t>中国人民银行深圳市中心支行</w:t>
            </w:r>
          </w:p>
        </w:tc>
        <w:tc>
          <w:tcPr>
            <w:tcW w:w="8079" w:type="dxa"/>
            <w:tcBorders>
              <w:bottom w:val="single" w:color="auto" w:sz="4" w:space="0"/>
            </w:tcBorders>
            <w:noWrap w:val="0"/>
            <w:vAlign w:val="top"/>
          </w:tcPr>
          <w:p>
            <w:pPr>
              <w:spacing w:line="340" w:lineRule="exact"/>
              <w:rPr>
                <w:rFonts w:ascii="仿宋_GB2312" w:hAnsi="宋体" w:cs="仿宋_GB2312"/>
                <w:b/>
                <w:bCs/>
                <w:color w:val="000000"/>
                <w:sz w:val="28"/>
                <w:szCs w:val="28"/>
              </w:rPr>
            </w:pPr>
            <w:r>
              <w:rPr>
                <w:rFonts w:hint="eastAsia" w:ascii="仿宋_GB2312" w:hAnsi="宋体" w:cs="仿宋_GB2312"/>
                <w:bCs/>
                <w:color w:val="000000"/>
                <w:sz w:val="28"/>
                <w:szCs w:val="28"/>
              </w:rPr>
              <w:t>一、建议在《深圳经济特区社会信用条例》（征求意见稿）（以下简称“条例”）中明确市政务服务数据管理局和市公共信用信息中心的相关工作职责，明确市、区社会信用管理部门负责对本级公共信用机构进行监督管理。</w:t>
            </w:r>
          </w:p>
        </w:tc>
        <w:tc>
          <w:tcPr>
            <w:tcW w:w="2726" w:type="dxa"/>
            <w:tcBorders>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。已增加相关条款。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二、建议在《条例》中明确市公共信用机构、金融机构、信用服务机构可以通过签署共享协议的方式共享公共信用信息。</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三、建议《条例》第九条修改为“</w:t>
            </w:r>
            <w:r>
              <w:rPr>
                <w:rFonts w:hint="eastAsia" w:ascii="仿宋_GB2312"/>
                <w:b/>
                <w:bCs/>
                <w:color w:val="000000"/>
                <w:sz w:val="28"/>
                <w:szCs w:val="28"/>
              </w:rPr>
              <w:t>市、区社会信用管理部门</w:t>
            </w:r>
            <w:r>
              <w:rPr>
                <w:rFonts w:hint="eastAsia" w:ascii="仿宋_GB2312"/>
                <w:color w:val="000000"/>
                <w:sz w:val="28"/>
                <w:szCs w:val="28"/>
              </w:rPr>
              <w:t>负责社会信用体系建设工作的管理和实施，组织拟定本级社会信用体系建设政策措施，指导</w:t>
            </w:r>
            <w:r>
              <w:rPr>
                <w:rFonts w:hint="eastAsia" w:ascii="仿宋_GB2312"/>
                <w:b/>
                <w:bCs/>
                <w:color w:val="000000"/>
                <w:sz w:val="28"/>
                <w:szCs w:val="28"/>
              </w:rPr>
              <w:t>并监督管理</w:t>
            </w:r>
            <w:r>
              <w:rPr>
                <w:rFonts w:hint="eastAsia" w:ascii="仿宋_GB2312"/>
                <w:color w:val="000000"/>
                <w:sz w:val="28"/>
                <w:szCs w:val="28"/>
              </w:rPr>
              <w:t>本级公共信用机构开展相关工作，推动重点领域信用创新试点示范。”</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bCs/>
                <w:color w:val="000000"/>
                <w:sz w:val="28"/>
                <w:szCs w:val="28"/>
              </w:rPr>
              <w:t>四、建议《条例》第十四条第一款修改为“本市国家机关、</w:t>
            </w:r>
            <w:r>
              <w:rPr>
                <w:rFonts w:hint="eastAsia" w:ascii="仿宋_GB2312"/>
                <w:b/>
                <w:bCs/>
                <w:color w:val="000000"/>
                <w:sz w:val="28"/>
                <w:szCs w:val="28"/>
              </w:rPr>
              <w:t>法律法规授权履行公共管理职责的组织以及公共企业事业单位</w:t>
            </w:r>
            <w:r>
              <w:rPr>
                <w:rFonts w:hint="eastAsia" w:ascii="仿宋_GB2312"/>
                <w:bCs/>
                <w:color w:val="000000"/>
                <w:sz w:val="28"/>
                <w:szCs w:val="28"/>
              </w:rPr>
              <w:t>等对其参与的跨境信用合作活动负有安全风险防控职责。”</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p>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p>
            <w:pPr>
              <w:spacing w:line="340" w:lineRule="exact"/>
              <w:jc w:val="left"/>
              <w:rPr>
                <w:rFonts w:ascii="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bCs/>
                <w:color w:val="000000"/>
                <w:sz w:val="28"/>
                <w:szCs w:val="28"/>
              </w:rPr>
              <w:t>五、建议《条例》第十九条第一款修改为“本市国家机关、法律法规授权履行公共管理职责的组织以及</w:t>
            </w:r>
            <w:r>
              <w:rPr>
                <w:rFonts w:hint="eastAsia" w:ascii="仿宋_GB2312"/>
                <w:b/>
                <w:bCs/>
                <w:color w:val="000000"/>
                <w:sz w:val="28"/>
                <w:szCs w:val="28"/>
              </w:rPr>
              <w:t>公共企业事业单位</w:t>
            </w:r>
            <w:r>
              <w:rPr>
                <w:rFonts w:hint="eastAsia" w:ascii="仿宋_GB2312"/>
                <w:bCs/>
                <w:color w:val="000000"/>
                <w:sz w:val="28"/>
                <w:szCs w:val="28"/>
              </w:rPr>
              <w:t>是公共信用信息提供单位，应当按照公共信用信息目录，履行报送职责。”</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p>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p>
            <w:pPr>
              <w:spacing w:line="340" w:lineRule="exact"/>
              <w:jc w:val="left"/>
              <w:rPr>
                <w:rFonts w:ascii="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六、建议《条例》第二十一条第二款修改为“信用服务机构应当告知</w:t>
            </w:r>
            <w:r>
              <w:rPr>
                <w:rFonts w:hint="eastAsia" w:ascii="仿宋_GB2312"/>
                <w:b/>
                <w:bCs/>
                <w:color w:val="000000"/>
                <w:sz w:val="28"/>
                <w:szCs w:val="28"/>
              </w:rPr>
              <w:t>信用主体</w:t>
            </w:r>
            <w:r>
              <w:rPr>
                <w:rFonts w:hint="eastAsia" w:ascii="仿宋_GB2312"/>
                <w:color w:val="000000"/>
                <w:sz w:val="28"/>
                <w:szCs w:val="28"/>
              </w:rPr>
              <w:t>信用信息的采集内容、使用范围和时限等，不得超出告知事项进行信用信息采集和使用。”</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七、建议《条例》第二十二条第一款修改为“信用服务机构以外的企业事业单位</w:t>
            </w:r>
            <w:r>
              <w:rPr>
                <w:rFonts w:hint="eastAsia" w:ascii="仿宋_GB2312"/>
                <w:b/>
                <w:bCs/>
                <w:color w:val="000000"/>
                <w:sz w:val="28"/>
                <w:szCs w:val="28"/>
              </w:rPr>
              <w:t>因生产经营、提供商品或服务的需要，</w:t>
            </w:r>
            <w:r>
              <w:rPr>
                <w:rFonts w:hint="eastAsia" w:ascii="仿宋_GB2312"/>
                <w:color w:val="000000"/>
                <w:sz w:val="28"/>
                <w:szCs w:val="28"/>
              </w:rPr>
              <w:t>采集、使用</w:t>
            </w:r>
            <w:r>
              <w:rPr>
                <w:rFonts w:hint="eastAsia" w:ascii="仿宋_GB2312"/>
                <w:b/>
                <w:bCs/>
                <w:color w:val="000000"/>
                <w:sz w:val="28"/>
                <w:szCs w:val="28"/>
              </w:rPr>
              <w:t>信用主体</w:t>
            </w:r>
            <w:r>
              <w:rPr>
                <w:rFonts w:hint="eastAsia" w:ascii="仿宋_GB2312"/>
                <w:color w:val="000000"/>
                <w:sz w:val="28"/>
                <w:szCs w:val="28"/>
              </w:rPr>
              <w:t>的信用信息，应当取得信用主体同意，并约定使用用途。”</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八、建议《条例》第二十八条第一款修改为“依法应当主动公开的公共信用信息，由公共信用信息提供单位在本部门门户网站、本级政府门户网站或者</w:t>
            </w:r>
            <w:r>
              <w:rPr>
                <w:rFonts w:hint="eastAsia" w:ascii="仿宋_GB2312"/>
                <w:b/>
                <w:bCs/>
                <w:color w:val="000000"/>
                <w:sz w:val="28"/>
                <w:szCs w:val="28"/>
              </w:rPr>
              <w:t>其他指定的网站公开</w:t>
            </w:r>
            <w:r>
              <w:rPr>
                <w:rFonts w:hint="eastAsia" w:ascii="仿宋_GB2312"/>
                <w:color w:val="000000"/>
                <w:sz w:val="28"/>
                <w:szCs w:val="28"/>
              </w:rPr>
              <w:t>，社会公众可以通过市公共信用机构的官方网站、服务窗口或者其他方式直接查询，市公共信用机构提供便捷的查询服务。”</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九、建议《条例》第三十条第一款第（一）项修改为“</w:t>
            </w:r>
            <w:r>
              <w:rPr>
                <w:rFonts w:hint="eastAsia" w:ascii="仿宋_GB2312"/>
                <w:b/>
                <w:bCs/>
                <w:color w:val="000000"/>
                <w:sz w:val="28"/>
                <w:szCs w:val="28"/>
              </w:rPr>
              <w:t>基本信息在有效期内披露</w:t>
            </w:r>
            <w:r>
              <w:rPr>
                <w:rFonts w:hint="eastAsia" w:ascii="仿宋_GB2312"/>
                <w:color w:val="000000"/>
                <w:sz w:val="28"/>
                <w:szCs w:val="28"/>
              </w:rPr>
              <w:t>”，第三款修改为“</w:t>
            </w:r>
            <w:r>
              <w:rPr>
                <w:rFonts w:hint="eastAsia" w:ascii="仿宋_GB2312"/>
                <w:b/>
                <w:bCs/>
                <w:color w:val="000000"/>
                <w:sz w:val="28"/>
                <w:szCs w:val="28"/>
              </w:rPr>
              <w:t>公共信用信息披露期限届满或者失效的，不再披露</w:t>
            </w:r>
            <w:r>
              <w:rPr>
                <w:rFonts w:hint="eastAsia" w:ascii="仿宋_GB2312"/>
                <w:color w:val="000000"/>
                <w:sz w:val="28"/>
                <w:szCs w:val="28"/>
              </w:rPr>
              <w:t>。”</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十、建议《条例》第三十八条第一款“市公共信用机构应当在两个工作日内将核查结果告知申请人。”修改为“市公共信用机构</w:t>
            </w:r>
            <w:r>
              <w:rPr>
                <w:rFonts w:hint="eastAsia" w:ascii="仿宋_GB2312"/>
                <w:b/>
                <w:bCs/>
                <w:color w:val="000000"/>
                <w:sz w:val="28"/>
                <w:szCs w:val="28"/>
              </w:rPr>
              <w:t>或信用服务机构</w:t>
            </w:r>
            <w:r>
              <w:rPr>
                <w:rFonts w:hint="eastAsia" w:ascii="仿宋_GB2312"/>
                <w:color w:val="000000"/>
                <w:sz w:val="28"/>
                <w:szCs w:val="28"/>
              </w:rPr>
              <w:t>应当在两个工作日内将核查结果告知申请人。”</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十一、建议《条例》第四十二条第（一）项修改为“依法制定相关信用信息查询、使用、安全管理等方面的内部管理制度和操作规程，并报</w:t>
            </w:r>
            <w:r>
              <w:rPr>
                <w:rFonts w:hint="eastAsia" w:ascii="仿宋_GB2312"/>
                <w:b/>
                <w:bCs/>
                <w:color w:val="000000"/>
                <w:sz w:val="28"/>
                <w:szCs w:val="28"/>
              </w:rPr>
              <w:t>市社会信用管理部门备案。</w:t>
            </w:r>
            <w:r>
              <w:rPr>
                <w:rFonts w:hint="eastAsia" w:ascii="仿宋_GB2312"/>
                <w:color w:val="000000"/>
                <w:sz w:val="28"/>
                <w:szCs w:val="28"/>
              </w:rPr>
              <w:t>”</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十二、建议《条例》第四十三条第二款修改为“</w:t>
            </w:r>
            <w:r>
              <w:rPr>
                <w:rFonts w:hint="eastAsia" w:ascii="仿宋_GB2312"/>
                <w:b/>
                <w:bCs/>
                <w:color w:val="000000"/>
                <w:sz w:val="28"/>
                <w:szCs w:val="28"/>
              </w:rPr>
              <w:t>市社会信用管理部门</w:t>
            </w:r>
            <w:r>
              <w:rPr>
                <w:rFonts w:hint="eastAsia" w:ascii="仿宋_GB2312"/>
                <w:color w:val="000000"/>
                <w:sz w:val="28"/>
                <w:szCs w:val="28"/>
              </w:rPr>
              <w:t>依照公共信用信息安全管理规范对共享使用公共信用信息的信用服务机构进行年度审查和不定期抽查，对不符合规范的机构停止共享公共信用信息”，第三款修改为“共享使用公共信用信息的机构和组织应当每月向</w:t>
            </w:r>
            <w:r>
              <w:rPr>
                <w:rFonts w:hint="eastAsia" w:ascii="仿宋_GB2312"/>
                <w:b/>
                <w:bCs/>
                <w:color w:val="000000"/>
                <w:sz w:val="28"/>
                <w:szCs w:val="28"/>
              </w:rPr>
              <w:t>市社会信用管理部门</w:t>
            </w:r>
            <w:r>
              <w:rPr>
                <w:rFonts w:hint="eastAsia" w:ascii="仿宋_GB2312"/>
                <w:color w:val="000000"/>
                <w:sz w:val="28"/>
                <w:szCs w:val="28"/>
              </w:rPr>
              <w:t>报送公共信用信息使用情况报告。”</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hint="eastAsia" w:ascii="仿宋_GB2312"/>
                <w:color w:val="000000"/>
                <w:sz w:val="28"/>
                <w:szCs w:val="28"/>
              </w:rPr>
              <w:t>解释</w:t>
            </w:r>
            <w:r>
              <w:rPr>
                <w:rFonts w:ascii="仿宋_GB2312"/>
                <w:color w:val="000000"/>
                <w:sz w:val="28"/>
                <w:szCs w:val="28"/>
              </w:rPr>
              <w:t>说明</w:t>
            </w:r>
            <w:r>
              <w:rPr>
                <w:rFonts w:hint="eastAsia" w:ascii="仿宋_GB2312"/>
                <w:color w:val="000000"/>
                <w:sz w:val="28"/>
                <w:szCs w:val="28"/>
              </w:rPr>
              <w:t>。由于市公共信用机构负责管理和维护市公共信用信息管理系统，结合实际需要，此处规定由市公共信用机构承担相关具体工作。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十三、建议《条例》第六十四条第二款予以删除，与第六十五条重复。</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817" w:type="dxa"/>
            <w:vMerge w:val="restart"/>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15</w:t>
            </w:r>
          </w:p>
        </w:tc>
        <w:tc>
          <w:tcPr>
            <w:tcW w:w="2552" w:type="dxa"/>
            <w:vMerge w:val="restart"/>
            <w:noWrap w:val="0"/>
            <w:vAlign w:val="center"/>
          </w:tcPr>
          <w:p>
            <w:pPr>
              <w:spacing w:line="340" w:lineRule="exact"/>
              <w:jc w:val="center"/>
              <w:rPr>
                <w:rFonts w:ascii="仿宋_GB2312"/>
                <w:color w:val="000000"/>
                <w:sz w:val="28"/>
                <w:szCs w:val="28"/>
              </w:rPr>
            </w:pPr>
            <w:r>
              <w:rPr>
                <w:rFonts w:hint="eastAsia" w:ascii="仿宋_GB2312"/>
                <w:b/>
                <w:bCs/>
                <w:color w:val="000000"/>
                <w:sz w:val="28"/>
                <w:szCs w:val="28"/>
              </w:rPr>
              <w:t>前海管理局</w:t>
            </w:r>
          </w:p>
        </w:tc>
        <w:tc>
          <w:tcPr>
            <w:tcW w:w="8079" w:type="dxa"/>
            <w:tcBorders>
              <w:bottom w:val="single" w:color="auto" w:sz="4" w:space="0"/>
            </w:tcBorders>
            <w:noWrap w:val="0"/>
            <w:vAlign w:val="top"/>
          </w:tcPr>
          <w:p>
            <w:pPr>
              <w:spacing w:line="340" w:lineRule="exact"/>
              <w:ind w:left="0"/>
              <w:rPr>
                <w:rFonts w:ascii="仿宋_GB2312"/>
                <w:color w:val="000000"/>
                <w:sz w:val="28"/>
                <w:szCs w:val="28"/>
              </w:rPr>
            </w:pPr>
            <w:r>
              <w:rPr>
                <w:rFonts w:hint="eastAsia" w:ascii="仿宋_GB2312"/>
                <w:b/>
                <w:color w:val="000000"/>
                <w:sz w:val="28"/>
                <w:szCs w:val="28"/>
              </w:rPr>
              <w:t>建议一：</w:t>
            </w:r>
            <w:r>
              <w:rPr>
                <w:rFonts w:hint="eastAsia" w:ascii="仿宋_GB2312"/>
                <w:color w:val="000000"/>
                <w:sz w:val="28"/>
                <w:szCs w:val="28"/>
              </w:rPr>
              <w:t>参照《广东省社会信用条例》，对《特区社会信用条例》第三条除公共信用信息以外的“其他信用信息”进行定义或列举。</w:t>
            </w:r>
            <w:r>
              <w:rPr>
                <w:rFonts w:hint="eastAsia" w:ascii="仿宋_GB2312"/>
                <w:b/>
                <w:color w:val="000000"/>
                <w:sz w:val="28"/>
                <w:szCs w:val="28"/>
              </w:rPr>
              <w:t>理由：</w:t>
            </w:r>
            <w:r>
              <w:rPr>
                <w:rFonts w:hint="eastAsia" w:ascii="仿宋_GB2312"/>
                <w:color w:val="000000"/>
                <w:sz w:val="28"/>
                <w:szCs w:val="28"/>
              </w:rPr>
              <w:t>《广东省社会信用条例》规定社会信用信息包括公共信用信息和市场信用信息，并明确市场信用信息定义。明显区分两类信用信息的概念，指出了信息产生的主体、应用环境和运用方式的差异，便于法规的理解与适用。</w:t>
            </w:r>
          </w:p>
        </w:tc>
        <w:tc>
          <w:tcPr>
            <w:tcW w:w="2726" w:type="dxa"/>
            <w:tcBorders>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解释说明</w:t>
            </w:r>
            <w:r>
              <w:rPr>
                <w:rFonts w:hint="eastAsia" w:ascii="仿宋_GB2312"/>
                <w:color w:val="000000"/>
                <w:sz w:val="28"/>
                <w:szCs w:val="28"/>
              </w:rPr>
              <w:t>。已明确信用信息和公共信用信息的定义和范围，故其他信用信息的界定是清晰的。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ind w:left="0"/>
              <w:rPr>
                <w:rFonts w:hint="eastAsia" w:ascii="仿宋_GB2312" w:hAnsi="宋体" w:cs="仿宋_GB2312"/>
                <w:b/>
                <w:color w:val="000000"/>
                <w:sz w:val="28"/>
                <w:szCs w:val="28"/>
              </w:rPr>
            </w:pPr>
            <w:r>
              <w:rPr>
                <w:rFonts w:hint="eastAsia" w:ascii="仿宋_GB2312" w:hAnsi="宋体" w:cs="仿宋_GB2312"/>
                <w:b/>
                <w:color w:val="000000"/>
                <w:sz w:val="28"/>
                <w:szCs w:val="28"/>
              </w:rPr>
              <w:t>建议二：</w:t>
            </w:r>
            <w:r>
              <w:rPr>
                <w:rFonts w:hint="eastAsia" w:ascii="仿宋_GB2312" w:hAnsi="宋体" w:cs="仿宋_GB2312"/>
                <w:color w:val="000000"/>
                <w:sz w:val="28"/>
                <w:szCs w:val="28"/>
              </w:rPr>
              <w:t>参照《深圳经济特区知识产权保护条例》规定，对前海信用领域制度创新进行授权。</w:t>
            </w:r>
          </w:p>
          <w:p>
            <w:pPr>
              <w:spacing w:line="340" w:lineRule="exact"/>
              <w:ind w:left="0"/>
              <w:rPr>
                <w:rFonts w:ascii="仿宋_GB2312" w:hAnsi="宋体" w:cs="仿宋_GB2312"/>
                <w:color w:val="000000"/>
                <w:sz w:val="28"/>
                <w:szCs w:val="28"/>
              </w:rPr>
            </w:pPr>
            <w:r>
              <w:rPr>
                <w:rFonts w:hint="eastAsia" w:ascii="仿宋_GB2312" w:hAnsi="宋体" w:cs="仿宋_GB2312"/>
                <w:b/>
                <w:color w:val="000000"/>
                <w:sz w:val="28"/>
                <w:szCs w:val="28"/>
              </w:rPr>
              <w:t>理由：</w:t>
            </w:r>
            <w:r>
              <w:rPr>
                <w:rFonts w:hint="eastAsia" w:ascii="仿宋_GB2312" w:hAnsi="宋体" w:cs="仿宋_GB2312"/>
                <w:color w:val="000000"/>
                <w:sz w:val="28"/>
                <w:szCs w:val="28"/>
              </w:rPr>
              <w:t>一方面，前海管理局（前海蛇口自贸片区管委会）作为法定机构，与传统“谁审批，谁监管”的行政模式存在差异，急需运用信用监管、信用服务等信用手段助力前海深化“放管服”改革，推动全链条优化审批，全过程公正监管，全周期提升服务。另一方面，授权也是衔接《中国（广东）自由贸易试验区条例》的相关规定。《中国（广东）自由贸易试验区条例》规定自贸试验区应当建立与省、市的企业信用信息平台相对接的自贸试验区企业信用信息数据库及信用公示平台，建立守信激励和失信惩戒联动机制，完善企业信用激励、警示、惩戒制度。自贸试验区鼓励信用服务机构利用各方面信用信息开发信用产品，开展信用论证和等级评价，为行政监管、市场交易等提供信用服务；鼓励企业和个人使用信用产品和服务。</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w:t>
            </w:r>
            <w:r>
              <w:rPr>
                <w:rFonts w:ascii="仿宋_GB2312"/>
                <w:color w:val="000000"/>
                <w:sz w:val="28"/>
                <w:szCs w:val="28"/>
              </w:rPr>
              <w:t>已增加相关内容</w:t>
            </w:r>
            <w:r>
              <w:rPr>
                <w:rFonts w:hint="eastAsia" w:ascii="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tcBorders>
            <w:noWrap w:val="0"/>
            <w:vAlign w:val="top"/>
          </w:tcPr>
          <w:p>
            <w:pPr>
              <w:spacing w:line="340" w:lineRule="exact"/>
              <w:ind w:left="0"/>
              <w:rPr>
                <w:rFonts w:hint="eastAsia" w:ascii="仿宋_GB2312" w:hAnsi="宋体" w:cs="仿宋_GB2312"/>
                <w:b/>
                <w:color w:val="000000"/>
                <w:sz w:val="28"/>
                <w:szCs w:val="28"/>
              </w:rPr>
            </w:pPr>
            <w:r>
              <w:rPr>
                <w:rFonts w:hint="eastAsia" w:ascii="仿宋_GB2312" w:hAnsi="宋体" w:cs="仿宋_GB2312"/>
                <w:b/>
                <w:color w:val="000000"/>
                <w:sz w:val="28"/>
                <w:szCs w:val="28"/>
              </w:rPr>
              <w:t>建议三：</w:t>
            </w:r>
            <w:r>
              <w:rPr>
                <w:rFonts w:hint="eastAsia" w:ascii="仿宋_GB2312" w:hAnsi="宋体" w:cs="仿宋_GB2312"/>
                <w:color w:val="000000"/>
                <w:sz w:val="28"/>
                <w:szCs w:val="28"/>
              </w:rPr>
              <w:t>《特区社会信用条例》第十三条规定中增加前海统筹设立企业信用信息跨境交流自由港试点地区。</w:t>
            </w:r>
          </w:p>
          <w:p>
            <w:pPr>
              <w:spacing w:line="340" w:lineRule="exact"/>
              <w:ind w:left="0"/>
              <w:rPr>
                <w:rFonts w:ascii="仿宋_GB2312" w:hAnsi="宋体" w:cs="仿宋_GB2312"/>
                <w:color w:val="000000"/>
                <w:sz w:val="28"/>
                <w:szCs w:val="28"/>
              </w:rPr>
            </w:pPr>
            <w:r>
              <w:rPr>
                <w:rFonts w:hint="eastAsia" w:ascii="仿宋_GB2312" w:hAnsi="宋体" w:cs="仿宋_GB2312"/>
                <w:b/>
                <w:color w:val="000000"/>
                <w:sz w:val="28"/>
                <w:szCs w:val="28"/>
              </w:rPr>
              <w:t>理由：</w:t>
            </w:r>
            <w:r>
              <w:rPr>
                <w:rFonts w:hint="eastAsia" w:ascii="仿宋_GB2312" w:hAnsi="宋体" w:cs="仿宋_GB2312"/>
                <w:color w:val="000000"/>
                <w:sz w:val="28"/>
                <w:szCs w:val="28"/>
              </w:rPr>
              <w:t>为大力推动信用服务实体经济发展，前海管理局在省、市有关部门的指导下起草了《深圳前海开展广东省信用建设服务实体经济发展试点方案》（以下简称《试点方案》），《试点方案》经省经济体制改革专项小组第五次会议暨省社会信用体系建设工作联系会议审议通过，并将于近日印发。《试点方案》明确支持前海“在征信、信用评级、信用管理等领域，探索建立符合国际通行惯例和规则的标准规范体系”。香港信用服务业高度接轨国际，增强与香港信用服务业交流，探索在前海设立企业信用信息跨境交流自由港，有利于前海加快探索建立符合国际通行惯例和规则的信用标准规范体系，推动粤港澳大湾区社会信用一体化建设。</w:t>
            </w:r>
          </w:p>
        </w:tc>
        <w:tc>
          <w:tcPr>
            <w:tcW w:w="2726" w:type="dxa"/>
            <w:tcBorders>
              <w:top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w:t>
            </w:r>
            <w:r>
              <w:rPr>
                <w:rFonts w:ascii="仿宋_GB2312"/>
                <w:color w:val="000000"/>
                <w:sz w:val="28"/>
                <w:szCs w:val="28"/>
              </w:rPr>
              <w:t>增加相关内容</w:t>
            </w:r>
            <w:r>
              <w:rPr>
                <w:rFonts w:hint="eastAsia" w:ascii="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817" w:type="dxa"/>
            <w:vMerge w:val="restart"/>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16</w:t>
            </w:r>
          </w:p>
        </w:tc>
        <w:tc>
          <w:tcPr>
            <w:tcW w:w="2552" w:type="dxa"/>
            <w:vMerge w:val="restart"/>
            <w:noWrap w:val="0"/>
            <w:vAlign w:val="center"/>
          </w:tcPr>
          <w:p>
            <w:pPr>
              <w:spacing w:line="340" w:lineRule="exact"/>
              <w:jc w:val="center"/>
              <w:rPr>
                <w:rFonts w:ascii="仿宋_GB2312"/>
                <w:b/>
                <w:bCs/>
                <w:color w:val="000000"/>
                <w:sz w:val="28"/>
                <w:szCs w:val="28"/>
              </w:rPr>
            </w:pPr>
            <w:r>
              <w:rPr>
                <w:rFonts w:hint="eastAsia" w:ascii="仿宋_GB2312"/>
                <w:b/>
                <w:bCs/>
                <w:color w:val="000000"/>
                <w:sz w:val="28"/>
                <w:szCs w:val="28"/>
              </w:rPr>
              <w:t>南山区人民政府</w:t>
            </w:r>
          </w:p>
          <w:p>
            <w:pPr>
              <w:spacing w:line="340" w:lineRule="exact"/>
              <w:jc w:val="center"/>
              <w:rPr>
                <w:rFonts w:ascii="仿宋_GB2312"/>
                <w:color w:val="000000"/>
                <w:sz w:val="28"/>
                <w:szCs w:val="28"/>
              </w:rPr>
            </w:pPr>
          </w:p>
        </w:tc>
        <w:tc>
          <w:tcPr>
            <w:tcW w:w="8079" w:type="dxa"/>
            <w:tcBorders>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一、第十八条第（一）项中的“违法情节轻微并且社会影响较小，已经承担相应法律责任的除外”表述过于笼统，操作性不强，建议予以明确。</w:t>
            </w:r>
          </w:p>
        </w:tc>
        <w:tc>
          <w:tcPr>
            <w:tcW w:w="2726" w:type="dxa"/>
            <w:tcBorders>
              <w:bottom w:val="single" w:color="auto" w:sz="4" w:space="0"/>
            </w:tcBorders>
            <w:noWrap w:val="0"/>
            <w:vAlign w:val="center"/>
          </w:tcPr>
          <w:p>
            <w:pPr>
              <w:spacing w:line="340" w:lineRule="exact"/>
              <w:jc w:val="left"/>
              <w:rPr>
                <w:rFonts w:ascii="仿宋_GB2312"/>
                <w:color w:val="000000"/>
                <w:sz w:val="28"/>
                <w:szCs w:val="28"/>
              </w:rPr>
            </w:pPr>
            <w:r>
              <w:rPr>
                <w:rFonts w:hint="eastAsia" w:ascii="仿宋_GB2312"/>
                <w:color w:val="000000"/>
                <w:sz w:val="28"/>
                <w:szCs w:val="28"/>
              </w:rPr>
              <w:t>采纳：已删除有关内容。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二、建议将第十八条第（十二）项中的“法律、法规以及党中央、国务院政策文件”改为“法律、法规和国家规定的其他信息”，与《广东省社会信用条例》第十五条第（八）项保持一致。</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w:t>
            </w:r>
            <w:r>
              <w:rPr>
                <w:rFonts w:ascii="仿宋_GB2312"/>
                <w:color w:val="000000"/>
                <w:sz w:val="28"/>
                <w:szCs w:val="28"/>
              </w:rPr>
              <w:t>修改相关表述</w:t>
            </w:r>
            <w:r>
              <w:rPr>
                <w:rFonts w:hint="eastAsia" w:ascii="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三、第五十条第（三）项“严重危害深圳质量和标准的行为”表述较宽泛，缺乏可操作性。建议进一步明确该项表述，并在起草说明中明确适用该项的法律依据。</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w:t>
            </w:r>
            <w:r>
              <w:rPr>
                <w:rFonts w:ascii="仿宋_GB2312"/>
                <w:color w:val="000000"/>
                <w:sz w:val="28"/>
                <w:szCs w:val="28"/>
              </w:rPr>
              <w:t>删除相关表述</w:t>
            </w:r>
            <w:r>
              <w:rPr>
                <w:rFonts w:hint="eastAsia" w:ascii="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四、第五章第二节仅规定了信用主体主动申请信用修复的内容，建议增加信用管理部门依职权修复的情形。</w:t>
            </w:r>
          </w:p>
        </w:tc>
        <w:tc>
          <w:tcPr>
            <w:tcW w:w="2726" w:type="dxa"/>
            <w:tcBorders>
              <w:top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w:t>
            </w:r>
            <w:r>
              <w:rPr>
                <w:rFonts w:ascii="仿宋_GB2312"/>
                <w:color w:val="000000"/>
                <w:sz w:val="28"/>
                <w:szCs w:val="28"/>
              </w:rPr>
              <w:t>增加</w:t>
            </w:r>
            <w:r>
              <w:rPr>
                <w:rFonts w:hint="eastAsia" w:ascii="仿宋_GB2312"/>
                <w:color w:val="000000"/>
                <w:sz w:val="28"/>
                <w:szCs w:val="28"/>
              </w:rPr>
              <w:t>主管部门依职权引导信用主体信用修复的</w:t>
            </w:r>
            <w:r>
              <w:rPr>
                <w:rFonts w:ascii="仿宋_GB2312"/>
                <w:color w:val="000000"/>
                <w:sz w:val="28"/>
                <w:szCs w:val="28"/>
              </w:rPr>
              <w:t>相关规定</w:t>
            </w:r>
            <w:r>
              <w:rPr>
                <w:rFonts w:hint="eastAsia" w:ascii="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817" w:type="dxa"/>
            <w:vMerge w:val="restart"/>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17</w:t>
            </w:r>
          </w:p>
        </w:tc>
        <w:tc>
          <w:tcPr>
            <w:tcW w:w="2552" w:type="dxa"/>
            <w:vMerge w:val="restart"/>
            <w:noWrap w:val="0"/>
            <w:vAlign w:val="center"/>
          </w:tcPr>
          <w:p>
            <w:pPr>
              <w:spacing w:line="340" w:lineRule="exact"/>
              <w:jc w:val="center"/>
              <w:rPr>
                <w:rFonts w:ascii="仿宋_GB2312"/>
                <w:color w:val="000000"/>
                <w:sz w:val="28"/>
                <w:szCs w:val="28"/>
              </w:rPr>
            </w:pPr>
            <w:r>
              <w:rPr>
                <w:rFonts w:hint="eastAsia" w:ascii="仿宋_GB2312"/>
                <w:b/>
                <w:color w:val="000000"/>
                <w:sz w:val="28"/>
                <w:szCs w:val="28"/>
              </w:rPr>
              <w:t>盐田区人民政府</w:t>
            </w:r>
          </w:p>
        </w:tc>
        <w:tc>
          <w:tcPr>
            <w:tcW w:w="8079" w:type="dxa"/>
            <w:tcBorders>
              <w:bottom w:val="single" w:color="auto" w:sz="4" w:space="0"/>
            </w:tcBorders>
            <w:noWrap w:val="0"/>
            <w:vAlign w:val="top"/>
          </w:tcPr>
          <w:p>
            <w:pPr>
              <w:spacing w:line="340" w:lineRule="exact"/>
              <w:rPr>
                <w:rFonts w:ascii="仿宋_GB2312"/>
                <w:color w:val="000000"/>
                <w:sz w:val="28"/>
                <w:szCs w:val="28"/>
              </w:rPr>
            </w:pPr>
            <w:r>
              <w:rPr>
                <w:rFonts w:hint="eastAsia" w:ascii="仿宋_GB2312" w:hAnsi="宋体"/>
                <w:color w:val="000000"/>
                <w:sz w:val="28"/>
                <w:szCs w:val="28"/>
              </w:rPr>
              <w:t>一、建议将第五条、第二十二条、第三十三中“社会组织”修改为：“行业协会商会”。根据《国务院办公厅关于加快推进社会信用体系建设构建以信用为基础的新型监管机制的指导意见》的规定：“（十八）积极引导行业组织和信用服务机构协同监管。支持有关部门授权的行业协会商会协助开展行业信用建设和信用监管，鼓励行业协会商会建立会员信用记录……”，并且社会组织涵盖范围过大，不具有公共事务管理职能以及行业监管职能的社会组织不应仅依据章程采集成员的社会信用信息。</w:t>
            </w:r>
          </w:p>
        </w:tc>
        <w:tc>
          <w:tcPr>
            <w:tcW w:w="2726" w:type="dxa"/>
            <w:tcBorders>
              <w:bottom w:val="single" w:color="auto" w:sz="4" w:space="0"/>
            </w:tcBorders>
            <w:noWrap w:val="0"/>
            <w:vAlign w:val="center"/>
          </w:tcPr>
          <w:p>
            <w:pPr>
              <w:spacing w:line="340" w:lineRule="exact"/>
              <w:jc w:val="left"/>
              <w:rPr>
                <w:rFonts w:ascii="仿宋_GB2312"/>
                <w:color w:val="000000"/>
                <w:sz w:val="28"/>
                <w:szCs w:val="28"/>
              </w:rPr>
            </w:pPr>
            <w:r>
              <w:rPr>
                <w:rFonts w:hint="eastAsia" w:ascii="仿宋_GB2312"/>
                <w:color w:val="000000"/>
                <w:sz w:val="28"/>
                <w:szCs w:val="28"/>
              </w:rPr>
              <w:t>部分</w:t>
            </w:r>
            <w:r>
              <w:rPr>
                <w:rFonts w:ascii="仿宋_GB2312"/>
                <w:color w:val="000000"/>
                <w:sz w:val="28"/>
                <w:szCs w:val="28"/>
              </w:rPr>
              <w:t>采纳</w:t>
            </w:r>
            <w:r>
              <w:rPr>
                <w:rFonts w:hint="eastAsia" w:ascii="仿宋_GB2312"/>
                <w:color w:val="000000"/>
                <w:sz w:val="28"/>
                <w:szCs w:val="28"/>
              </w:rPr>
              <w:t>。</w:t>
            </w:r>
            <w:r>
              <w:rPr>
                <w:rFonts w:ascii="仿宋_GB2312"/>
                <w:color w:val="000000"/>
                <w:sz w:val="28"/>
                <w:szCs w:val="28"/>
              </w:rPr>
              <w:t>已修改相关表述</w:t>
            </w:r>
            <w:r>
              <w:rPr>
                <w:rFonts w:hint="eastAsia" w:ascii="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二、建议取消第三十七条对异议申请期限的限制，增加对信用信息异议的重复申请的限制。信用信息不准确、不完整、不适当将侵害相对人的名誉权，根据《民法典》的规定， 人格权请求权不适用诉讼时效，建议不对异议申请期限作出限制。</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w:t>
            </w:r>
            <w:r>
              <w:rPr>
                <w:rFonts w:ascii="仿宋_GB2312"/>
                <w:color w:val="000000"/>
                <w:sz w:val="28"/>
                <w:szCs w:val="28"/>
              </w:rPr>
              <w:t>已修改相关表述</w:t>
            </w:r>
            <w:r>
              <w:rPr>
                <w:rFonts w:hint="eastAsia" w:ascii="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tcBorders>
            <w:noWrap w:val="0"/>
            <w:vAlign w:val="top"/>
          </w:tcPr>
          <w:p>
            <w:pPr>
              <w:spacing w:line="340" w:lineRule="exact"/>
              <w:rPr>
                <w:rFonts w:ascii="仿宋_GB2312" w:hAnsi="宋体"/>
                <w:color w:val="000000"/>
                <w:sz w:val="28"/>
                <w:szCs w:val="28"/>
              </w:rPr>
            </w:pPr>
            <w:r>
              <w:rPr>
                <w:rFonts w:hint="eastAsia" w:ascii="仿宋_GB2312" w:hAnsi="宋体"/>
                <w:color w:val="000000"/>
                <w:sz w:val="28"/>
                <w:szCs w:val="28"/>
              </w:rPr>
              <w:t>三、基于高效便民原则，建议修改第六十二条第四款的规定，由市公共服务机构统一受理信用修复申请，或增设信用信息提供单位应当制定信用修复制度的期限规定。</w:t>
            </w:r>
          </w:p>
        </w:tc>
        <w:tc>
          <w:tcPr>
            <w:tcW w:w="2726" w:type="dxa"/>
            <w:tcBorders>
              <w:top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817" w:type="dxa"/>
            <w:vMerge w:val="restart"/>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18</w:t>
            </w:r>
          </w:p>
        </w:tc>
        <w:tc>
          <w:tcPr>
            <w:tcW w:w="2552" w:type="dxa"/>
            <w:vMerge w:val="restart"/>
            <w:noWrap w:val="0"/>
            <w:vAlign w:val="center"/>
          </w:tcPr>
          <w:p>
            <w:pPr>
              <w:spacing w:line="340" w:lineRule="exact"/>
              <w:jc w:val="center"/>
              <w:rPr>
                <w:rFonts w:ascii="仿宋_GB2312"/>
                <w:color w:val="000000"/>
                <w:sz w:val="28"/>
                <w:szCs w:val="28"/>
              </w:rPr>
            </w:pPr>
            <w:r>
              <w:rPr>
                <w:rFonts w:hint="eastAsia" w:ascii="仿宋_GB2312"/>
                <w:b/>
                <w:bCs/>
                <w:color w:val="000000"/>
                <w:sz w:val="28"/>
                <w:szCs w:val="28"/>
              </w:rPr>
              <w:t>福田区人民政府</w:t>
            </w:r>
          </w:p>
          <w:p>
            <w:pPr>
              <w:spacing w:line="340" w:lineRule="exact"/>
              <w:jc w:val="center"/>
              <w:rPr>
                <w:rFonts w:ascii="仿宋_GB2312"/>
                <w:color w:val="000000"/>
                <w:sz w:val="28"/>
                <w:szCs w:val="28"/>
              </w:rPr>
            </w:pPr>
          </w:p>
        </w:tc>
        <w:tc>
          <w:tcPr>
            <w:tcW w:w="8079" w:type="dxa"/>
            <w:tcBorders>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一、关于第二条“社会信用的基本概念”</w:t>
            </w:r>
          </w:p>
          <w:p>
            <w:pPr>
              <w:spacing w:line="340" w:lineRule="exact"/>
              <w:rPr>
                <w:rFonts w:ascii="仿宋_GB2312"/>
                <w:color w:val="000000"/>
                <w:sz w:val="28"/>
                <w:szCs w:val="28"/>
              </w:rPr>
            </w:pPr>
            <w:r>
              <w:rPr>
                <w:rFonts w:hint="eastAsia" w:ascii="仿宋_GB2312"/>
                <w:color w:val="000000"/>
                <w:sz w:val="28"/>
                <w:szCs w:val="28"/>
              </w:rPr>
              <w:t>根据《民法典》第二十二条，限制民事行为能力人可以独立实施其智力、精神健康状况相适应的民事法律行为，所产生的法律后果由其本人承担，建议不要限缩信用主体的范围，将“具有完全民事行为能力的自然人”修改为“自然人”；根据《民法典》第二条，建议将“非法人主体”修改为“非法人组织”。</w:t>
            </w:r>
          </w:p>
        </w:tc>
        <w:tc>
          <w:tcPr>
            <w:tcW w:w="2726" w:type="dxa"/>
            <w:tcBorders>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0"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二、关于第十三条“企业跨境信用”</w:t>
            </w:r>
          </w:p>
          <w:p>
            <w:pPr>
              <w:spacing w:line="340" w:lineRule="exact"/>
              <w:rPr>
                <w:rFonts w:ascii="仿宋_GB2312"/>
                <w:color w:val="000000"/>
                <w:sz w:val="28"/>
                <w:szCs w:val="28"/>
              </w:rPr>
            </w:pPr>
            <w:r>
              <w:rPr>
                <w:rFonts w:hint="eastAsia" w:ascii="仿宋_GB2312"/>
                <w:color w:val="000000"/>
                <w:sz w:val="28"/>
                <w:szCs w:val="28"/>
              </w:rPr>
              <w:t>建议将表述“深港科技创新合作区”修改为“河套深港科技创新合作区”。理由：习近平总书记在深圳经济特区建立40周年庆祝大会上提到要“规划建设好河套深港科技创新合作区”，因此，建议对相关内容中的合作区表述进行规范化调整。</w:t>
            </w:r>
          </w:p>
        </w:tc>
        <w:tc>
          <w:tcPr>
            <w:tcW w:w="2726" w:type="dxa"/>
            <w:tcBorders>
              <w:top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w:t>
            </w:r>
            <w:r>
              <w:rPr>
                <w:rFonts w:ascii="仿宋_GB2312"/>
                <w:color w:val="000000"/>
                <w:sz w:val="28"/>
                <w:szCs w:val="28"/>
              </w:rPr>
              <w:t>已修改相关表述</w:t>
            </w:r>
            <w:r>
              <w:rPr>
                <w:rFonts w:hint="eastAsia" w:ascii="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三、关于第五十九条“信用主体权利救济”</w:t>
            </w:r>
          </w:p>
          <w:p>
            <w:pPr>
              <w:spacing w:line="340" w:lineRule="exact"/>
              <w:rPr>
                <w:rFonts w:ascii="仿宋_GB2312"/>
                <w:color w:val="000000"/>
                <w:sz w:val="28"/>
                <w:szCs w:val="28"/>
              </w:rPr>
            </w:pPr>
            <w:r>
              <w:rPr>
                <w:rFonts w:hint="eastAsia" w:ascii="仿宋_GB2312"/>
                <w:color w:val="000000"/>
                <w:sz w:val="28"/>
                <w:szCs w:val="28"/>
              </w:rPr>
              <w:t>根据《中华人民共和国政府信息公开条例》第二十条第六项“行政机关应当依照本条例第十九条的规定，主动公开本行政机关的下列政府信息：（六）实施行政处罚、行政强制的依据、条件、程序以及本行政机关认为具有一定社会影响的行政处罚决定”，若行政相对人对行政处罚不服，申请行政复议或者提起行政诉讼，依据第五十九条第三款暂停处罚决定书的公示，一方面不利于政府采购活动对供应商资格审查的核实，若供应商存在较大数额罚款的重大违法记录未主动告知，而该处罚决定的公示又因上述原因撤回，那就存在查询不到之漏洞；另一方面，政府机关的行政决定应具有确定性，行政行为一经作出，非有法定事由并经法定程序不得随意撤销、废止或改变。因此建议第五十九条第三款修改为“信用主体申请行政复议或者起诉期间，市公共信用机构、信用服务机构、信息提供单位原则上不停止对外披露和共享相关信用信息，但是法律、行政法规、规章和规范性文件另有规定的除外”。</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。已删改相关条款。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四、关于第七十八条“金融机构、信用服务机构、社会组织、其他企业事业单位及其工作人员的责任”</w:t>
            </w:r>
          </w:p>
          <w:p>
            <w:pPr>
              <w:spacing w:line="340" w:lineRule="exact"/>
              <w:rPr>
                <w:rFonts w:ascii="仿宋_GB2312"/>
                <w:color w:val="000000"/>
                <w:sz w:val="28"/>
                <w:szCs w:val="28"/>
              </w:rPr>
            </w:pPr>
            <w:r>
              <w:rPr>
                <w:rFonts w:hint="eastAsia" w:ascii="仿宋_GB2312"/>
                <w:color w:val="000000"/>
                <w:sz w:val="28"/>
                <w:szCs w:val="28"/>
              </w:rPr>
              <w:t>建议在“第七十八条违反本条例规定，信用服务机构、社会组织、其他企业事业单位及其工作人员，有下列行为之一的，由市、区人民政府（含新区管理机构）或者法律、行政法规规定的部门责令限期改正，没收违法所得...”中进一步明确此行政处罚实施部门。</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。已修改相关表述。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五、关于建议增加条款</w:t>
            </w:r>
          </w:p>
          <w:p>
            <w:pPr>
              <w:spacing w:line="340" w:lineRule="exact"/>
              <w:rPr>
                <w:rFonts w:ascii="仿宋_GB2312"/>
                <w:color w:val="000000"/>
                <w:sz w:val="28"/>
                <w:szCs w:val="28"/>
              </w:rPr>
            </w:pPr>
            <w:r>
              <w:rPr>
                <w:rFonts w:hint="eastAsia" w:ascii="仿宋_GB2312"/>
                <w:color w:val="000000"/>
                <w:sz w:val="28"/>
                <w:szCs w:val="28"/>
              </w:rPr>
              <w:t>一是建议增加“关于市社会信用管理部门提供自然人失信信息查询服务最长期限规定”的条款。可表述为“市社会信用管理部门提供自然人失信信息查询服务的期限为X年，法律、法规或者国务院决定和命令另有规定的除外。前款规定的期限自失信行为或者事件终止之日起计算。失信信息查询期限届满的，市社会信用管理部门不得提供查询服务”。二是建议增加“关于被列入失信主体名单在最长公示期届满后，不论该信用主体是否提出申请，市社会信用管理部门应当主动撤下该信用主体名单及相关信息”的条款。</w:t>
            </w:r>
          </w:p>
        </w:tc>
        <w:tc>
          <w:tcPr>
            <w:tcW w:w="2726" w:type="dxa"/>
            <w:tcBorders>
              <w:top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解释说明</w:t>
            </w:r>
            <w:r>
              <w:rPr>
                <w:rFonts w:hint="eastAsia" w:ascii="仿宋_GB2312"/>
                <w:color w:val="000000"/>
                <w:sz w:val="28"/>
                <w:szCs w:val="28"/>
              </w:rPr>
              <w:t>。</w:t>
            </w:r>
            <w:r>
              <w:rPr>
                <w:rFonts w:ascii="仿宋_GB2312"/>
                <w:color w:val="000000"/>
                <w:sz w:val="28"/>
                <w:szCs w:val="28"/>
              </w:rPr>
              <w:t>已有相关规定</w:t>
            </w:r>
            <w:r>
              <w:rPr>
                <w:rFonts w:hint="eastAsia" w:ascii="仿宋_GB2312"/>
                <w:color w:val="000000"/>
                <w:sz w:val="28"/>
                <w:szCs w:val="28"/>
              </w:rPr>
              <w:t>。</w:t>
            </w:r>
            <w:r>
              <w:rPr>
                <w:rFonts w:ascii="仿宋_GB2312"/>
                <w:color w:val="000000"/>
                <w:sz w:val="28"/>
                <w:szCs w:val="28"/>
              </w:rPr>
              <w:t>公示期届满之后</w:t>
            </w:r>
            <w:r>
              <w:rPr>
                <w:rFonts w:hint="eastAsia" w:ascii="仿宋_GB2312"/>
                <w:color w:val="000000"/>
                <w:sz w:val="28"/>
                <w:szCs w:val="28"/>
              </w:rPr>
              <w:t>，</w:t>
            </w:r>
            <w:r>
              <w:rPr>
                <w:rFonts w:ascii="仿宋_GB2312"/>
                <w:color w:val="000000"/>
                <w:sz w:val="28"/>
                <w:szCs w:val="28"/>
              </w:rPr>
              <w:t>不再披露</w:t>
            </w:r>
            <w:r>
              <w:rPr>
                <w:rFonts w:hint="eastAsia" w:ascii="仿宋_GB2312"/>
                <w:color w:val="000000"/>
                <w:sz w:val="28"/>
                <w:szCs w:val="28"/>
              </w:rPr>
              <w:t>，</w:t>
            </w:r>
            <w:r>
              <w:rPr>
                <w:rFonts w:ascii="仿宋_GB2312"/>
                <w:color w:val="000000"/>
                <w:sz w:val="28"/>
                <w:szCs w:val="28"/>
              </w:rPr>
              <w:t>不需要规定主动撤下相关信息的内容</w:t>
            </w:r>
            <w:r>
              <w:rPr>
                <w:rFonts w:hint="eastAsia" w:ascii="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19</w:t>
            </w:r>
          </w:p>
        </w:tc>
        <w:tc>
          <w:tcPr>
            <w:tcW w:w="2552" w:type="dxa"/>
            <w:noWrap w:val="0"/>
            <w:vAlign w:val="center"/>
          </w:tcPr>
          <w:p>
            <w:pPr>
              <w:spacing w:line="340" w:lineRule="exact"/>
              <w:jc w:val="center"/>
              <w:rPr>
                <w:rFonts w:ascii="仿宋_GB2312"/>
                <w:color w:val="000000"/>
                <w:sz w:val="28"/>
                <w:szCs w:val="28"/>
              </w:rPr>
            </w:pPr>
            <w:r>
              <w:rPr>
                <w:rFonts w:hint="eastAsia" w:ascii="仿宋_GB2312"/>
                <w:b/>
                <w:color w:val="000000"/>
                <w:sz w:val="28"/>
                <w:szCs w:val="28"/>
              </w:rPr>
              <w:t>深汕特别合作区管委会</w:t>
            </w:r>
          </w:p>
        </w:tc>
        <w:tc>
          <w:tcPr>
            <w:tcW w:w="8079" w:type="dxa"/>
            <w:noWrap w:val="0"/>
            <w:vAlign w:val="top"/>
          </w:tcPr>
          <w:p>
            <w:pPr>
              <w:spacing w:line="340" w:lineRule="exact"/>
              <w:rPr>
                <w:rFonts w:ascii="仿宋_GB2312"/>
                <w:color w:val="000000"/>
                <w:sz w:val="28"/>
                <w:szCs w:val="28"/>
              </w:rPr>
            </w:pPr>
            <w:r>
              <w:rPr>
                <w:rFonts w:hint="eastAsia" w:ascii="仿宋_GB2312"/>
                <w:color w:val="000000"/>
                <w:sz w:val="28"/>
                <w:szCs w:val="28"/>
              </w:rPr>
              <w:t>建议第十条增加“深汕特别合作区参照适用”的内容。</w:t>
            </w:r>
          </w:p>
        </w:tc>
        <w:tc>
          <w:tcPr>
            <w:tcW w:w="2726" w:type="dxa"/>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。已增加相关条款。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17" w:type="dxa"/>
            <w:vMerge w:val="restart"/>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20</w:t>
            </w:r>
          </w:p>
        </w:tc>
        <w:tc>
          <w:tcPr>
            <w:tcW w:w="2552" w:type="dxa"/>
            <w:vMerge w:val="restart"/>
            <w:noWrap w:val="0"/>
            <w:vAlign w:val="center"/>
          </w:tcPr>
          <w:p>
            <w:pPr>
              <w:spacing w:line="340" w:lineRule="exact"/>
              <w:jc w:val="center"/>
              <w:rPr>
                <w:rFonts w:ascii="仿宋_GB2312"/>
                <w:b/>
                <w:bCs/>
                <w:color w:val="000000"/>
                <w:sz w:val="28"/>
                <w:szCs w:val="28"/>
              </w:rPr>
            </w:pPr>
            <w:r>
              <w:rPr>
                <w:rFonts w:hint="eastAsia" w:ascii="仿宋_GB2312"/>
                <w:b/>
                <w:bCs/>
                <w:color w:val="000000"/>
                <w:sz w:val="28"/>
                <w:szCs w:val="28"/>
              </w:rPr>
              <w:t>市律师协会</w:t>
            </w:r>
          </w:p>
          <w:p>
            <w:pPr>
              <w:spacing w:line="340" w:lineRule="exact"/>
              <w:jc w:val="center"/>
              <w:rPr>
                <w:rFonts w:ascii="仿宋_GB2312"/>
                <w:color w:val="000000"/>
                <w:sz w:val="28"/>
                <w:szCs w:val="28"/>
              </w:rPr>
            </w:pPr>
          </w:p>
        </w:tc>
        <w:tc>
          <w:tcPr>
            <w:tcW w:w="8079" w:type="dxa"/>
            <w:tcBorders>
              <w:bottom w:val="single" w:color="auto" w:sz="4" w:space="0"/>
            </w:tcBorders>
            <w:noWrap w:val="0"/>
            <w:vAlign w:val="top"/>
          </w:tcPr>
          <w:p>
            <w:pPr>
              <w:numPr>
                <w:ilvl w:val="0"/>
                <w:numId w:val="1"/>
              </w:numPr>
              <w:spacing w:line="340" w:lineRule="exact"/>
              <w:ind w:left="720" w:hanging="720"/>
              <w:rPr>
                <w:rFonts w:ascii="仿宋_GB2312"/>
                <w:b/>
                <w:bCs/>
                <w:color w:val="000000"/>
                <w:sz w:val="28"/>
                <w:szCs w:val="28"/>
              </w:rPr>
            </w:pPr>
            <w:r>
              <w:rPr>
                <w:rFonts w:hint="eastAsia" w:ascii="仿宋_GB2312"/>
                <w:b/>
                <w:bCs/>
                <w:color w:val="000000"/>
                <w:sz w:val="28"/>
                <w:szCs w:val="28"/>
              </w:rPr>
              <w:t>关于对第十五条第二款的修改意见</w:t>
            </w:r>
          </w:p>
          <w:p>
            <w:pPr>
              <w:spacing w:line="340" w:lineRule="exact"/>
              <w:rPr>
                <w:rFonts w:ascii="仿宋_GB2312"/>
                <w:color w:val="000000"/>
                <w:sz w:val="28"/>
                <w:szCs w:val="28"/>
              </w:rPr>
            </w:pPr>
            <w:r>
              <w:rPr>
                <w:rFonts w:hint="eastAsia" w:ascii="仿宋_GB2312"/>
                <w:color w:val="000000"/>
                <w:sz w:val="28"/>
                <w:szCs w:val="28"/>
              </w:rPr>
              <w:t>【</w:t>
            </w:r>
            <w:r>
              <w:rPr>
                <w:rFonts w:hint="eastAsia" w:ascii="仿宋_GB2312"/>
                <w:b/>
                <w:bCs/>
                <w:color w:val="000000"/>
                <w:sz w:val="28"/>
                <w:szCs w:val="28"/>
              </w:rPr>
              <w:t>原条文</w:t>
            </w:r>
            <w:r>
              <w:rPr>
                <w:rFonts w:hint="eastAsia" w:ascii="仿宋_GB2312"/>
                <w:color w:val="000000"/>
                <w:sz w:val="28"/>
                <w:szCs w:val="28"/>
              </w:rPr>
              <w:t>】公共信用信息以外的信用信息依据法律法规或者按照和信用主体的约定进行采集。</w:t>
            </w:r>
          </w:p>
          <w:p>
            <w:pPr>
              <w:spacing w:line="340" w:lineRule="exact"/>
              <w:rPr>
                <w:rFonts w:ascii="仿宋_GB2312"/>
                <w:color w:val="000000"/>
                <w:sz w:val="28"/>
                <w:szCs w:val="28"/>
                <w:u w:val="single"/>
              </w:rPr>
            </w:pPr>
            <w:r>
              <w:rPr>
                <w:rFonts w:hint="eastAsia" w:ascii="仿宋_GB2312"/>
                <w:color w:val="000000"/>
                <w:sz w:val="28"/>
                <w:szCs w:val="28"/>
              </w:rPr>
              <w:t>【</w:t>
            </w:r>
            <w:r>
              <w:rPr>
                <w:rFonts w:hint="eastAsia" w:ascii="仿宋_GB2312"/>
                <w:b/>
                <w:bCs/>
                <w:color w:val="000000"/>
                <w:sz w:val="28"/>
                <w:szCs w:val="28"/>
              </w:rPr>
              <w:t>修改建议</w:t>
            </w:r>
            <w:r>
              <w:rPr>
                <w:rFonts w:hint="eastAsia" w:ascii="仿宋_GB2312"/>
                <w:color w:val="000000"/>
                <w:sz w:val="28"/>
                <w:szCs w:val="28"/>
              </w:rPr>
              <w:t>】公共信用信息以外的信用信息依据法律法规或者按照和信用主体的约定进行采集，</w:t>
            </w:r>
            <w:r>
              <w:rPr>
                <w:rFonts w:hint="eastAsia" w:ascii="仿宋_GB2312"/>
                <w:color w:val="000000"/>
                <w:sz w:val="28"/>
                <w:szCs w:val="28"/>
                <w:u w:val="single"/>
              </w:rPr>
              <w:t>但采取网络格式合同形式进行约定时必须保证信用主体已经充分知悉、理解并同意约定内容。</w:t>
            </w:r>
          </w:p>
          <w:p>
            <w:pPr>
              <w:spacing w:line="340" w:lineRule="exact"/>
              <w:rPr>
                <w:rFonts w:ascii="仿宋_GB2312"/>
                <w:color w:val="000000"/>
                <w:sz w:val="28"/>
                <w:szCs w:val="28"/>
              </w:rPr>
            </w:pPr>
            <w:r>
              <w:rPr>
                <w:rFonts w:hint="eastAsia" w:ascii="仿宋_GB2312"/>
                <w:color w:val="000000"/>
                <w:sz w:val="28"/>
                <w:szCs w:val="28"/>
              </w:rPr>
              <w:t>【</w:t>
            </w:r>
            <w:r>
              <w:rPr>
                <w:rFonts w:hint="eastAsia" w:ascii="仿宋_GB2312"/>
                <w:b/>
                <w:bCs/>
                <w:color w:val="000000"/>
                <w:sz w:val="28"/>
                <w:szCs w:val="28"/>
              </w:rPr>
              <w:t>修改理由</w:t>
            </w:r>
            <w:r>
              <w:rPr>
                <w:rFonts w:hint="eastAsia" w:ascii="仿宋_GB2312"/>
                <w:color w:val="000000"/>
                <w:sz w:val="28"/>
                <w:szCs w:val="28"/>
              </w:rPr>
              <w:t>】为防止信用采集机构利用网络格式合同形式，如诸多形式的“视为同意条款”以及实践中无论是否阅读条款、无论是否提示重要权利条款，均可直接下拉点击“同意”的签约形式等实质上变相越权采集信用主体的信用信息、损害信用主体合法权益的情形，应当要求信息采集机构尽到充分合理的提示，让信用主体知悉其签约行为的法律后果，从而充分保障信用主体的隐私权和信用信息不被非法采集的合法权益。</w:t>
            </w:r>
          </w:p>
        </w:tc>
        <w:tc>
          <w:tcPr>
            <w:tcW w:w="2726" w:type="dxa"/>
            <w:tcBorders>
              <w:bottom w:val="single" w:color="auto" w:sz="4" w:space="0"/>
            </w:tcBorders>
            <w:noWrap w:val="0"/>
            <w:vAlign w:val="center"/>
          </w:tcPr>
          <w:p>
            <w:pPr>
              <w:spacing w:line="340" w:lineRule="exact"/>
              <w:jc w:val="left"/>
              <w:rPr>
                <w:rFonts w:ascii="仿宋_GB2312"/>
                <w:color w:val="000000"/>
                <w:sz w:val="28"/>
                <w:szCs w:val="28"/>
              </w:rPr>
            </w:pPr>
            <w:r>
              <w:rPr>
                <w:rFonts w:hint="eastAsia" w:ascii="仿宋_GB2312"/>
                <w:color w:val="000000"/>
                <w:sz w:val="28"/>
                <w:szCs w:val="28"/>
              </w:rPr>
              <w:t>解释说明：告知+同意原则主要适用于对个人的信用信息采集。而不管采取哪种合同形式，都应保证信用主体个人已经充分知悉、理解并同意约定内容。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b/>
                <w:bCs/>
                <w:color w:val="000000"/>
                <w:sz w:val="28"/>
                <w:szCs w:val="28"/>
              </w:rPr>
            </w:pPr>
            <w:r>
              <w:rPr>
                <w:rFonts w:hint="eastAsia" w:ascii="仿宋_GB2312"/>
                <w:b/>
                <w:bCs/>
                <w:color w:val="000000"/>
                <w:sz w:val="28"/>
                <w:szCs w:val="28"/>
              </w:rPr>
              <w:t>二、关于对第十八条第一款的修改意见</w:t>
            </w:r>
          </w:p>
          <w:p>
            <w:pPr>
              <w:spacing w:line="340" w:lineRule="exact"/>
              <w:rPr>
                <w:rFonts w:ascii="仿宋_GB2312"/>
                <w:color w:val="000000"/>
                <w:sz w:val="28"/>
                <w:szCs w:val="28"/>
              </w:rPr>
            </w:pPr>
            <w:r>
              <w:rPr>
                <w:rFonts w:hint="eastAsia" w:ascii="仿宋_GB2312"/>
                <w:b/>
                <w:bCs/>
                <w:color w:val="000000"/>
                <w:sz w:val="28"/>
                <w:szCs w:val="28"/>
              </w:rPr>
              <w:t>【原条文】</w:t>
            </w:r>
            <w:r>
              <w:rPr>
                <w:rFonts w:hint="eastAsia" w:ascii="仿宋_GB2312"/>
                <w:color w:val="000000"/>
                <w:sz w:val="28"/>
                <w:szCs w:val="28"/>
              </w:rPr>
              <w:t>下列违法信息和失信信息应当列入公共信用信息目录：</w:t>
            </w:r>
          </w:p>
          <w:p>
            <w:pPr>
              <w:spacing w:line="340" w:lineRule="exact"/>
              <w:rPr>
                <w:rFonts w:ascii="仿宋_GB2312"/>
                <w:color w:val="000000"/>
                <w:sz w:val="28"/>
                <w:szCs w:val="28"/>
              </w:rPr>
            </w:pPr>
            <w:r>
              <w:rPr>
                <w:rFonts w:hint="eastAsia" w:ascii="仿宋_GB2312"/>
                <w:color w:val="000000"/>
                <w:sz w:val="28"/>
                <w:szCs w:val="28"/>
              </w:rPr>
              <w:t>（一）……（十二）</w:t>
            </w:r>
          </w:p>
          <w:p>
            <w:pPr>
              <w:spacing w:line="340" w:lineRule="exact"/>
              <w:rPr>
                <w:rFonts w:ascii="仿宋_GB2312"/>
                <w:color w:val="000000"/>
                <w:sz w:val="28"/>
                <w:szCs w:val="28"/>
              </w:rPr>
            </w:pPr>
            <w:r>
              <w:rPr>
                <w:rFonts w:hint="eastAsia" w:ascii="仿宋_GB2312"/>
                <w:color w:val="000000"/>
                <w:sz w:val="28"/>
                <w:szCs w:val="28"/>
              </w:rPr>
              <w:t>【</w:t>
            </w:r>
            <w:r>
              <w:rPr>
                <w:rFonts w:hint="eastAsia" w:ascii="仿宋_GB2312"/>
                <w:b/>
                <w:bCs/>
                <w:color w:val="000000"/>
                <w:sz w:val="28"/>
                <w:szCs w:val="28"/>
              </w:rPr>
              <w:t>修改建议</w:t>
            </w:r>
            <w:r>
              <w:rPr>
                <w:rFonts w:hint="eastAsia" w:ascii="仿宋_GB2312"/>
                <w:color w:val="000000"/>
                <w:sz w:val="28"/>
                <w:szCs w:val="28"/>
              </w:rPr>
              <w:t>】第十八条第一款第（十一）项后增加一项作为第（十二）项，内容为：被人民法院的生效裁判认定的虚假诉讼行为、虚假仲裁行为或恶意诉讼行为；原第（十二）项依次变更为第（十三）项。</w:t>
            </w:r>
          </w:p>
          <w:p>
            <w:pPr>
              <w:spacing w:line="340" w:lineRule="exact"/>
              <w:rPr>
                <w:rFonts w:ascii="仿宋_GB2312"/>
                <w:color w:val="000000"/>
                <w:sz w:val="28"/>
                <w:szCs w:val="28"/>
              </w:rPr>
            </w:pPr>
            <w:r>
              <w:rPr>
                <w:rFonts w:hint="eastAsia" w:ascii="仿宋_GB2312"/>
                <w:color w:val="000000"/>
                <w:sz w:val="28"/>
                <w:szCs w:val="28"/>
              </w:rPr>
              <w:t>【</w:t>
            </w:r>
            <w:r>
              <w:rPr>
                <w:rFonts w:hint="eastAsia" w:ascii="仿宋_GB2312"/>
                <w:b/>
                <w:bCs/>
                <w:color w:val="000000"/>
                <w:sz w:val="28"/>
                <w:szCs w:val="28"/>
              </w:rPr>
              <w:t>修改理由</w:t>
            </w:r>
            <w:r>
              <w:rPr>
                <w:rFonts w:hint="eastAsia" w:ascii="仿宋_GB2312"/>
                <w:color w:val="000000"/>
                <w:sz w:val="28"/>
                <w:szCs w:val="28"/>
              </w:rPr>
              <w:t>】虚假诉讼、虚假仲裁或恶意诉讼行为并不一定都构成犯罪从而符合第十八条第一款第（三）项“刑事犯罪信息”，且其违法行为又不一定能被行政管理部门处以行政处罚致使又脱责于第十八条第一款第（一）项“适用普通程序作出的行政处罚信息”。为了强化诚信意识，营造良好的营商环境和法治环境，打击虚假诉讼、虚假仲裁和恶意诉讼行为，需要对虚假诉讼、虚假仲裁和恶意诉讼行为予以公示。</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hint="eastAsia" w:ascii="仿宋_GB2312"/>
                <w:color w:val="000000"/>
                <w:sz w:val="28"/>
                <w:szCs w:val="28"/>
              </w:rPr>
              <w:t>解释说明：目前相关司法机关信息存在实操上的传输难题，本次立法暂不予以纳入。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bottom w:val="single" w:color="auto" w:sz="4" w:space="0"/>
            </w:tcBorders>
            <w:noWrap w:val="0"/>
            <w:vAlign w:val="top"/>
          </w:tcPr>
          <w:p>
            <w:pPr>
              <w:spacing w:line="340" w:lineRule="exact"/>
              <w:rPr>
                <w:rFonts w:ascii="仿宋_GB2312"/>
                <w:b/>
                <w:bCs/>
                <w:color w:val="000000"/>
                <w:sz w:val="28"/>
                <w:szCs w:val="28"/>
              </w:rPr>
            </w:pPr>
            <w:r>
              <w:rPr>
                <w:rFonts w:hint="eastAsia" w:ascii="仿宋_GB2312"/>
                <w:b/>
                <w:bCs/>
                <w:color w:val="000000"/>
                <w:sz w:val="28"/>
                <w:szCs w:val="28"/>
              </w:rPr>
              <w:t>三、关于对第二十四条第一款的修改意见</w:t>
            </w:r>
          </w:p>
          <w:p>
            <w:pPr>
              <w:spacing w:line="340" w:lineRule="exact"/>
              <w:rPr>
                <w:rFonts w:ascii="仿宋_GB2312"/>
                <w:color w:val="000000"/>
                <w:sz w:val="28"/>
                <w:szCs w:val="28"/>
              </w:rPr>
            </w:pPr>
            <w:r>
              <w:rPr>
                <w:rFonts w:hint="eastAsia" w:ascii="仿宋_GB2312"/>
                <w:color w:val="000000"/>
                <w:sz w:val="28"/>
                <w:szCs w:val="28"/>
              </w:rPr>
              <w:t>【</w:t>
            </w:r>
            <w:r>
              <w:rPr>
                <w:rFonts w:hint="eastAsia" w:ascii="仿宋_GB2312"/>
                <w:b/>
                <w:bCs/>
                <w:color w:val="000000"/>
                <w:sz w:val="28"/>
                <w:szCs w:val="28"/>
              </w:rPr>
              <w:t>原条文</w:t>
            </w:r>
            <w:r>
              <w:rPr>
                <w:rFonts w:hint="eastAsia" w:ascii="仿宋_GB2312"/>
                <w:color w:val="000000"/>
                <w:sz w:val="28"/>
                <w:szCs w:val="28"/>
              </w:rPr>
              <w:t>】市公共信用机构、信用服务机构不得采集不属于信用信息范围内的自然人信息，不得采集法律、法规禁止采集的信息。</w:t>
            </w:r>
          </w:p>
          <w:p>
            <w:pPr>
              <w:spacing w:line="340" w:lineRule="exact"/>
              <w:rPr>
                <w:rFonts w:ascii="仿宋_GB2312"/>
                <w:color w:val="000000"/>
                <w:sz w:val="28"/>
                <w:szCs w:val="28"/>
              </w:rPr>
            </w:pPr>
            <w:r>
              <w:rPr>
                <w:rFonts w:hint="eastAsia" w:ascii="仿宋_GB2312"/>
                <w:color w:val="000000"/>
                <w:sz w:val="28"/>
                <w:szCs w:val="28"/>
              </w:rPr>
              <w:t>【</w:t>
            </w:r>
            <w:r>
              <w:rPr>
                <w:rFonts w:hint="eastAsia" w:ascii="仿宋_GB2312"/>
                <w:b/>
                <w:bCs/>
                <w:color w:val="000000"/>
                <w:sz w:val="28"/>
                <w:szCs w:val="28"/>
              </w:rPr>
              <w:t>修改建议</w:t>
            </w:r>
            <w:r>
              <w:rPr>
                <w:rFonts w:hint="eastAsia" w:ascii="仿宋_GB2312"/>
                <w:color w:val="000000"/>
                <w:sz w:val="28"/>
                <w:szCs w:val="28"/>
              </w:rPr>
              <w:t>】第二十四条第一款后增加一句，内容为：非依法律、行政法规的明确规定，不得利用已经合法采集的自然人相关信用信息，通过加工、合成或推定等方式生产、公示其他自然人信用信息或与该自然人有关的其他自然人的信用信息。</w:t>
            </w:r>
          </w:p>
          <w:p>
            <w:pPr>
              <w:spacing w:line="340" w:lineRule="exact"/>
              <w:rPr>
                <w:rFonts w:ascii="仿宋_GB2312"/>
                <w:color w:val="000000"/>
                <w:sz w:val="28"/>
                <w:szCs w:val="28"/>
              </w:rPr>
            </w:pPr>
            <w:r>
              <w:rPr>
                <w:rFonts w:hint="eastAsia" w:ascii="仿宋_GB2312"/>
                <w:color w:val="000000"/>
                <w:sz w:val="28"/>
                <w:szCs w:val="28"/>
              </w:rPr>
              <w:t>【</w:t>
            </w:r>
            <w:r>
              <w:rPr>
                <w:rFonts w:hint="eastAsia" w:ascii="仿宋_GB2312"/>
                <w:b/>
                <w:bCs/>
                <w:color w:val="000000"/>
                <w:sz w:val="28"/>
                <w:szCs w:val="28"/>
              </w:rPr>
              <w:t>修改理由</w:t>
            </w:r>
            <w:r>
              <w:rPr>
                <w:rFonts w:hint="eastAsia" w:ascii="仿宋_GB2312"/>
                <w:color w:val="000000"/>
                <w:sz w:val="28"/>
                <w:szCs w:val="28"/>
              </w:rPr>
              <w:t>】自然人信用信息的采集、保有和公示必须遵循严格的法律规定，为了防止信用服务机构违反法律规定，利用数据合成、数据分析以及其他数据运算等路径，生产、公示或披露该等自然人未被合法采集的其他信用信息，或者与该等自然人有关的其他自然人未被合法采集的信用信息，保护自然人隐私和信用信息不被非法利用，需要对此有明确严格规定。</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hint="eastAsia" w:ascii="仿宋_GB2312"/>
                <w:color w:val="000000"/>
                <w:sz w:val="28"/>
                <w:szCs w:val="28"/>
              </w:rPr>
              <w:t>解释说明：该内容是不得超出法定或约定范围采集处理信用信息的具体情形。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817" w:type="dxa"/>
            <w:vMerge w:val="continue"/>
            <w:noWrap w:val="0"/>
            <w:vAlign w:val="center"/>
          </w:tcPr>
          <w:p>
            <w:pPr>
              <w:spacing w:line="340" w:lineRule="exact"/>
              <w:jc w:val="center"/>
              <w:rPr>
                <w:rFonts w:ascii="仿宋_GB2312"/>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tcBorders>
              <w:top w:val="single" w:color="auto" w:sz="4" w:space="0"/>
            </w:tcBorders>
            <w:noWrap w:val="0"/>
            <w:vAlign w:val="top"/>
          </w:tcPr>
          <w:p>
            <w:pPr>
              <w:spacing w:line="340" w:lineRule="exact"/>
              <w:rPr>
                <w:rFonts w:ascii="仿宋_GB2312"/>
                <w:b/>
                <w:bCs/>
                <w:color w:val="000000"/>
                <w:sz w:val="28"/>
                <w:szCs w:val="28"/>
              </w:rPr>
            </w:pPr>
            <w:r>
              <w:rPr>
                <w:rFonts w:hint="eastAsia" w:ascii="仿宋_GB2312"/>
                <w:b/>
                <w:bCs/>
                <w:color w:val="000000"/>
                <w:sz w:val="28"/>
                <w:szCs w:val="28"/>
              </w:rPr>
              <w:t>四、关于对第五十条第一款的修改意见</w:t>
            </w:r>
          </w:p>
          <w:p>
            <w:pPr>
              <w:spacing w:line="340" w:lineRule="exact"/>
              <w:rPr>
                <w:rFonts w:ascii="仿宋_GB2312"/>
                <w:color w:val="000000"/>
                <w:sz w:val="28"/>
                <w:szCs w:val="28"/>
              </w:rPr>
            </w:pPr>
            <w:r>
              <w:rPr>
                <w:rFonts w:hint="eastAsia" w:ascii="仿宋_GB2312"/>
                <w:color w:val="000000"/>
                <w:sz w:val="28"/>
                <w:szCs w:val="28"/>
              </w:rPr>
              <w:t>【</w:t>
            </w:r>
            <w:r>
              <w:rPr>
                <w:rFonts w:hint="eastAsia" w:ascii="仿宋_GB2312"/>
                <w:b/>
                <w:bCs/>
                <w:color w:val="000000"/>
                <w:sz w:val="28"/>
                <w:szCs w:val="28"/>
              </w:rPr>
              <w:t>原条文</w:t>
            </w:r>
            <w:r>
              <w:rPr>
                <w:rFonts w:hint="eastAsia" w:ascii="仿宋_GB2312"/>
                <w:color w:val="000000"/>
                <w:sz w:val="28"/>
                <w:szCs w:val="28"/>
              </w:rPr>
              <w:t>】建立违法失信惩戒机制，对有下列情形之一且在信息披露期内的严重违法失信主体实施惩戒：</w:t>
            </w:r>
          </w:p>
          <w:p>
            <w:pPr>
              <w:spacing w:line="340" w:lineRule="exact"/>
              <w:rPr>
                <w:rFonts w:ascii="仿宋_GB2312"/>
                <w:color w:val="000000"/>
                <w:sz w:val="28"/>
                <w:szCs w:val="28"/>
              </w:rPr>
            </w:pPr>
            <w:r>
              <w:rPr>
                <w:rFonts w:hint="eastAsia" w:ascii="仿宋_GB2312"/>
                <w:color w:val="000000"/>
                <w:sz w:val="28"/>
                <w:szCs w:val="28"/>
              </w:rPr>
              <w:t>……</w:t>
            </w:r>
          </w:p>
          <w:p>
            <w:pPr>
              <w:spacing w:line="340" w:lineRule="exact"/>
              <w:rPr>
                <w:rFonts w:ascii="仿宋_GB2312"/>
                <w:color w:val="000000"/>
                <w:sz w:val="28"/>
                <w:szCs w:val="28"/>
              </w:rPr>
            </w:pPr>
            <w:r>
              <w:rPr>
                <w:rFonts w:hint="eastAsia" w:ascii="仿宋_GB2312"/>
                <w:color w:val="000000"/>
                <w:sz w:val="28"/>
                <w:szCs w:val="28"/>
              </w:rPr>
              <w:t>（七）存在条例第十八条第（五）、（九）、（十）、（十一）规定的失信违法信息的；</w:t>
            </w:r>
          </w:p>
          <w:p>
            <w:pPr>
              <w:spacing w:line="340" w:lineRule="exact"/>
              <w:rPr>
                <w:rFonts w:ascii="仿宋_GB2312"/>
                <w:color w:val="000000"/>
                <w:sz w:val="28"/>
                <w:szCs w:val="28"/>
              </w:rPr>
            </w:pPr>
            <w:r>
              <w:rPr>
                <w:rFonts w:hint="eastAsia" w:ascii="仿宋_GB2312"/>
                <w:color w:val="000000"/>
                <w:sz w:val="28"/>
                <w:szCs w:val="28"/>
              </w:rPr>
              <w:t>【</w:t>
            </w:r>
            <w:r>
              <w:rPr>
                <w:rFonts w:hint="eastAsia" w:ascii="仿宋_GB2312"/>
                <w:b/>
                <w:bCs/>
                <w:color w:val="000000"/>
                <w:sz w:val="28"/>
                <w:szCs w:val="28"/>
              </w:rPr>
              <w:t>修改建议</w:t>
            </w:r>
            <w:r>
              <w:rPr>
                <w:rFonts w:hint="eastAsia" w:ascii="仿宋_GB2312"/>
                <w:color w:val="000000"/>
                <w:sz w:val="28"/>
                <w:szCs w:val="28"/>
              </w:rPr>
              <w:t>】建议修改为：</w:t>
            </w:r>
          </w:p>
          <w:p>
            <w:pPr>
              <w:spacing w:line="340" w:lineRule="exact"/>
              <w:rPr>
                <w:rFonts w:ascii="仿宋_GB2312"/>
                <w:color w:val="000000"/>
                <w:sz w:val="28"/>
                <w:szCs w:val="28"/>
              </w:rPr>
            </w:pPr>
            <w:r>
              <w:rPr>
                <w:rFonts w:hint="eastAsia" w:ascii="仿宋_GB2312"/>
                <w:color w:val="000000"/>
                <w:sz w:val="28"/>
                <w:szCs w:val="28"/>
              </w:rPr>
              <w:t>（七）存在条例第十八条第（五）、（九）、（十）、（十一）和</w:t>
            </w:r>
            <w:r>
              <w:rPr>
                <w:rFonts w:hint="eastAsia" w:ascii="仿宋_GB2312"/>
                <w:color w:val="000000"/>
                <w:sz w:val="28"/>
                <w:szCs w:val="28"/>
                <w:u w:val="single"/>
              </w:rPr>
              <w:t>（十二）</w:t>
            </w:r>
            <w:r>
              <w:rPr>
                <w:rFonts w:hint="eastAsia" w:ascii="仿宋_GB2312"/>
                <w:color w:val="000000"/>
                <w:sz w:val="28"/>
                <w:szCs w:val="28"/>
              </w:rPr>
              <w:t>项规定的失信违法信息。</w:t>
            </w:r>
          </w:p>
          <w:p>
            <w:pPr>
              <w:spacing w:line="340" w:lineRule="exact"/>
              <w:rPr>
                <w:rFonts w:ascii="仿宋_GB2312"/>
                <w:color w:val="000000"/>
                <w:sz w:val="28"/>
                <w:szCs w:val="28"/>
              </w:rPr>
            </w:pPr>
            <w:r>
              <w:rPr>
                <w:rFonts w:hint="eastAsia" w:ascii="仿宋_GB2312"/>
                <w:color w:val="000000"/>
                <w:sz w:val="28"/>
                <w:szCs w:val="28"/>
              </w:rPr>
              <w:t>【</w:t>
            </w:r>
            <w:r>
              <w:rPr>
                <w:rFonts w:hint="eastAsia" w:ascii="仿宋_GB2312"/>
                <w:b/>
                <w:bCs/>
                <w:color w:val="000000"/>
                <w:sz w:val="28"/>
                <w:szCs w:val="28"/>
              </w:rPr>
              <w:t>修改理由</w:t>
            </w:r>
            <w:r>
              <w:rPr>
                <w:rFonts w:hint="eastAsia" w:ascii="仿宋_GB2312"/>
                <w:color w:val="000000"/>
                <w:sz w:val="28"/>
                <w:szCs w:val="28"/>
              </w:rPr>
              <w:t>】</w:t>
            </w:r>
            <w:r>
              <w:rPr>
                <w:rFonts w:hint="eastAsia" w:ascii="仿宋_GB2312"/>
                <w:b/>
                <w:bCs/>
                <w:color w:val="000000"/>
                <w:sz w:val="28"/>
                <w:szCs w:val="28"/>
              </w:rPr>
              <w:t>原第十八条第一款中增加了一项作为第（十二）项，内容为</w:t>
            </w:r>
            <w:r>
              <w:rPr>
                <w:rFonts w:hint="eastAsia" w:ascii="仿宋_GB2312"/>
                <w:color w:val="000000"/>
                <w:sz w:val="28"/>
                <w:szCs w:val="28"/>
              </w:rPr>
              <w:t>虚假诉讼行为、虚假仲裁行为或恶意诉讼行为等，为了落实对相应失信行为的法律责任，需要在惩戒相关条款中列出，不使遗漏。</w:t>
            </w:r>
          </w:p>
        </w:tc>
        <w:tc>
          <w:tcPr>
            <w:tcW w:w="2726" w:type="dxa"/>
            <w:tcBorders>
              <w:top w:val="single" w:color="auto" w:sz="4" w:space="0"/>
            </w:tcBorders>
            <w:noWrap w:val="0"/>
            <w:vAlign w:val="center"/>
          </w:tcPr>
          <w:p>
            <w:pPr>
              <w:spacing w:line="340" w:lineRule="exact"/>
              <w:jc w:val="left"/>
              <w:rPr>
                <w:rFonts w:ascii="仿宋_GB2312"/>
                <w:color w:val="000000"/>
                <w:sz w:val="28"/>
                <w:szCs w:val="28"/>
              </w:rPr>
            </w:pPr>
            <w:r>
              <w:rPr>
                <w:rFonts w:hint="eastAsia" w:ascii="仿宋_GB2312"/>
                <w:color w:val="000000"/>
                <w:sz w:val="28"/>
                <w:szCs w:val="28"/>
              </w:rPr>
              <w:t>解释说明：</w:t>
            </w:r>
            <w:r>
              <w:rPr>
                <w:rFonts w:ascii="仿宋_GB2312"/>
                <w:color w:val="000000"/>
                <w:sz w:val="28"/>
                <w:szCs w:val="28"/>
              </w:rPr>
              <w:t>该款已删除</w:t>
            </w:r>
            <w:r>
              <w:rPr>
                <w:rFonts w:hint="eastAsia" w:ascii="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817" w:type="dxa"/>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21</w:t>
            </w:r>
          </w:p>
        </w:tc>
        <w:tc>
          <w:tcPr>
            <w:tcW w:w="2552" w:type="dxa"/>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市工商联</w:t>
            </w:r>
          </w:p>
        </w:tc>
        <w:tc>
          <w:tcPr>
            <w:tcW w:w="8079" w:type="dxa"/>
            <w:tcBorders>
              <w:top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第五十一条建议增加一款：“惩戒措施应当由法律、法规、规章设定。”同时原第二款修改为：“违法失信惩戒实施清单管理，社会信用协调机构应当组织相关单位，对法律、法规、规章规定的惩戒措施，按照惩戒对象、惩戒事项范围、对应的权责事项和惩戒措施，编制并向社会公布惩戒清单。”</w:t>
            </w:r>
          </w:p>
          <w:p>
            <w:pPr>
              <w:spacing w:line="340" w:lineRule="exact"/>
              <w:rPr>
                <w:rFonts w:ascii="仿宋_GB2312"/>
                <w:color w:val="000000"/>
                <w:sz w:val="28"/>
                <w:szCs w:val="28"/>
              </w:rPr>
            </w:pPr>
            <w:r>
              <w:rPr>
                <w:rFonts w:hint="eastAsia" w:ascii="仿宋_GB2312"/>
                <w:color w:val="000000"/>
                <w:sz w:val="28"/>
                <w:szCs w:val="28"/>
              </w:rPr>
              <w:t>理由是：失信惩戒措施将对企业的经营活动产生重大影响，目前存在一些惩戒措施缺乏明确的法律法规依据，以及不具备充分的合理性、必要性，失信行为与惩戒措施不相适应等问题，侵害了企业的合法权益，影响了企业的正常经营。建议惩戒措施应由法律、法规、规章设定，行政机关和相关单位不得自行通过“红头文件”等方式随意设定。</w:t>
            </w:r>
          </w:p>
        </w:tc>
        <w:tc>
          <w:tcPr>
            <w:tcW w:w="2726" w:type="dxa"/>
            <w:tcBorders>
              <w:top w:val="single" w:color="auto" w:sz="4" w:space="0"/>
            </w:tcBorders>
            <w:noWrap w:val="0"/>
            <w:vAlign w:val="center"/>
          </w:tcPr>
          <w:p>
            <w:pPr>
              <w:spacing w:line="340" w:lineRule="exact"/>
              <w:jc w:val="left"/>
              <w:rPr>
                <w:rFonts w:ascii="仿宋_GB2312"/>
                <w:color w:val="000000"/>
                <w:sz w:val="28"/>
                <w:szCs w:val="28"/>
              </w:rPr>
            </w:pPr>
            <w:r>
              <w:rPr>
                <w:rFonts w:hint="eastAsia" w:ascii="仿宋_GB2312"/>
                <w:color w:val="000000"/>
                <w:sz w:val="28"/>
                <w:szCs w:val="28"/>
              </w:rPr>
              <w:t>解释说明：国务院有关文件已规定违法失信惩戒措施应当有明确的法律法规或党中央国务院文件依据。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22</w:t>
            </w:r>
          </w:p>
        </w:tc>
        <w:tc>
          <w:tcPr>
            <w:tcW w:w="2552" w:type="dxa"/>
            <w:noWrap w:val="0"/>
            <w:vAlign w:val="center"/>
          </w:tcPr>
          <w:p>
            <w:pPr>
              <w:spacing w:line="340" w:lineRule="exact"/>
              <w:jc w:val="center"/>
              <w:rPr>
                <w:rFonts w:ascii="仿宋_GB2312"/>
                <w:b/>
                <w:color w:val="000000"/>
                <w:sz w:val="28"/>
                <w:szCs w:val="28"/>
              </w:rPr>
            </w:pPr>
            <w:r>
              <w:rPr>
                <w:rFonts w:hint="eastAsia" w:ascii="仿宋_GB2312"/>
                <w:b/>
                <w:bCs/>
                <w:color w:val="000000"/>
                <w:sz w:val="28"/>
                <w:szCs w:val="28"/>
              </w:rPr>
              <w:t>市委组织部、市委宣传部、市委政法委、市委政研室、市委编办、市教育局、市科技创新委、市工业和信息化局</w:t>
            </w:r>
            <w:r>
              <w:rPr>
                <w:rFonts w:hint="eastAsia" w:ascii="仿宋_GB2312"/>
                <w:b/>
                <w:color w:val="000000"/>
                <w:sz w:val="28"/>
                <w:szCs w:val="28"/>
              </w:rPr>
              <w:t>、</w:t>
            </w:r>
            <w:r>
              <w:rPr>
                <w:rFonts w:hint="eastAsia" w:ascii="仿宋_GB2312"/>
                <w:b/>
                <w:bCs/>
                <w:color w:val="000000"/>
                <w:sz w:val="28"/>
                <w:szCs w:val="28"/>
              </w:rPr>
              <w:t>市人力资源保</w:t>
            </w:r>
            <w:r>
              <w:rPr>
                <w:rFonts w:hint="eastAsia" w:ascii="仿宋_GB2312"/>
                <w:b/>
                <w:color w:val="000000"/>
                <w:sz w:val="28"/>
                <w:szCs w:val="28"/>
              </w:rPr>
              <w:t>障局、市生态环境局、</w:t>
            </w:r>
            <w:r>
              <w:rPr>
                <w:rFonts w:hint="eastAsia" w:ascii="仿宋_GB2312"/>
                <w:b/>
                <w:bCs/>
                <w:color w:val="000000"/>
                <w:sz w:val="28"/>
                <w:szCs w:val="28"/>
              </w:rPr>
              <w:t>市交通运输局、市水务局、</w:t>
            </w:r>
            <w:r>
              <w:rPr>
                <w:rFonts w:hint="eastAsia" w:ascii="仿宋_GB2312"/>
                <w:b/>
                <w:color w:val="000000"/>
                <w:sz w:val="28"/>
                <w:szCs w:val="28"/>
              </w:rPr>
              <w:t>市商务局、</w:t>
            </w:r>
            <w:r>
              <w:rPr>
                <w:rFonts w:hint="eastAsia" w:ascii="仿宋_GB2312"/>
                <w:b/>
                <w:bCs/>
                <w:color w:val="000000"/>
                <w:sz w:val="28"/>
                <w:szCs w:val="28"/>
              </w:rPr>
              <w:t>市文化广电旅游体育局、市退役军人局、市审计局、市国资委、</w:t>
            </w:r>
            <w:r>
              <w:rPr>
                <w:rFonts w:hint="eastAsia" w:ascii="仿宋_GB2312"/>
                <w:b/>
                <w:color w:val="000000"/>
                <w:sz w:val="28"/>
                <w:szCs w:val="28"/>
              </w:rPr>
              <w:t>市统计局、市医保局、</w:t>
            </w:r>
            <w:r>
              <w:rPr>
                <w:rFonts w:hint="eastAsia" w:ascii="仿宋_GB2312"/>
                <w:b/>
                <w:bCs/>
                <w:color w:val="000000"/>
                <w:sz w:val="28"/>
                <w:szCs w:val="28"/>
              </w:rPr>
              <w:t>市城管和综合执法局、市口岸办、市扶贫协作和合作交流办、市信访局、市中小企业服务局、市委外办、深圳市人民检察院、市消防救援支队、</w:t>
            </w:r>
            <w:r>
              <w:rPr>
                <w:rFonts w:hint="eastAsia" w:ascii="仿宋_GB2312"/>
                <w:b/>
                <w:color w:val="000000"/>
                <w:sz w:val="28"/>
                <w:szCs w:val="28"/>
              </w:rPr>
              <w:t>深圳税务局、深圳证监局、</w:t>
            </w:r>
            <w:r>
              <w:rPr>
                <w:rFonts w:hint="eastAsia" w:ascii="仿宋_GB2312"/>
                <w:b/>
                <w:bCs/>
                <w:color w:val="000000"/>
                <w:sz w:val="28"/>
                <w:szCs w:val="28"/>
              </w:rPr>
              <w:t>深圳银保监局、深圳海关、罗湖区人民政府、坪山区人民政府、宝安区人民政府、龙华区人民政府、</w:t>
            </w:r>
            <w:r>
              <w:rPr>
                <w:rFonts w:hint="eastAsia" w:ascii="仿宋_GB2312"/>
                <w:b/>
                <w:color w:val="000000"/>
                <w:sz w:val="28"/>
                <w:szCs w:val="28"/>
              </w:rPr>
              <w:t>龙岗区人民政府、光明区人民政府、大鹏新区管理委员会、</w:t>
            </w:r>
            <w:r>
              <w:rPr>
                <w:rFonts w:hint="eastAsia" w:ascii="仿宋_GB2312"/>
                <w:b/>
                <w:bCs/>
                <w:color w:val="000000"/>
                <w:sz w:val="28"/>
                <w:szCs w:val="28"/>
              </w:rPr>
              <w:t>深圳国际仲裁院</w:t>
            </w:r>
          </w:p>
        </w:tc>
        <w:tc>
          <w:tcPr>
            <w:tcW w:w="8079" w:type="dxa"/>
            <w:noWrap w:val="0"/>
            <w:vAlign w:val="top"/>
          </w:tcPr>
          <w:p>
            <w:pPr>
              <w:tabs>
                <w:tab w:val="left" w:pos="870"/>
              </w:tabs>
              <w:spacing w:line="340" w:lineRule="exact"/>
              <w:rPr>
                <w:rFonts w:ascii="仿宋_GB2312"/>
                <w:color w:val="000000"/>
                <w:sz w:val="28"/>
                <w:szCs w:val="28"/>
              </w:rPr>
            </w:pPr>
            <w:r>
              <w:rPr>
                <w:rFonts w:hint="eastAsia" w:ascii="仿宋_GB2312"/>
                <w:color w:val="000000"/>
                <w:sz w:val="28"/>
                <w:szCs w:val="28"/>
              </w:rPr>
              <w:tab/>
            </w:r>
          </w:p>
          <w:p>
            <w:pPr>
              <w:tabs>
                <w:tab w:val="left" w:pos="870"/>
              </w:tabs>
              <w:spacing w:line="340" w:lineRule="exact"/>
              <w:rPr>
                <w:rFonts w:ascii="仿宋_GB2312"/>
                <w:color w:val="000000"/>
                <w:sz w:val="28"/>
                <w:szCs w:val="28"/>
              </w:rPr>
            </w:pPr>
          </w:p>
          <w:p>
            <w:pPr>
              <w:tabs>
                <w:tab w:val="left" w:pos="870"/>
              </w:tabs>
              <w:spacing w:line="340" w:lineRule="exact"/>
              <w:rPr>
                <w:rFonts w:ascii="仿宋_GB2312"/>
                <w:color w:val="000000"/>
                <w:sz w:val="28"/>
                <w:szCs w:val="28"/>
              </w:rPr>
            </w:pPr>
            <w:r>
              <w:rPr>
                <w:rFonts w:hint="eastAsia" w:ascii="仿宋_GB2312"/>
                <w:color w:val="000000"/>
                <w:sz w:val="28"/>
                <w:szCs w:val="28"/>
              </w:rPr>
              <w:t>无意见。</w:t>
            </w:r>
          </w:p>
        </w:tc>
        <w:tc>
          <w:tcPr>
            <w:tcW w:w="2726" w:type="dxa"/>
            <w:noWrap w:val="0"/>
            <w:vAlign w:val="center"/>
          </w:tcPr>
          <w:p>
            <w:pPr>
              <w:spacing w:line="340" w:lineRule="exact"/>
              <w:jc w:val="center"/>
              <w:rPr>
                <w:rFonts w:ascii="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23</w:t>
            </w:r>
          </w:p>
        </w:tc>
        <w:tc>
          <w:tcPr>
            <w:tcW w:w="2552" w:type="dxa"/>
            <w:noWrap w:val="0"/>
            <w:vAlign w:val="center"/>
          </w:tcPr>
          <w:p>
            <w:pPr>
              <w:spacing w:line="340" w:lineRule="exact"/>
              <w:rPr>
                <w:rFonts w:ascii="仿宋_GB2312"/>
                <w:b/>
                <w:bCs/>
                <w:color w:val="000000"/>
                <w:sz w:val="28"/>
                <w:szCs w:val="28"/>
              </w:rPr>
            </w:pPr>
            <w:r>
              <w:rPr>
                <w:rFonts w:hint="eastAsia" w:ascii="仿宋_GB2312"/>
                <w:b/>
                <w:color w:val="000000"/>
                <w:sz w:val="28"/>
                <w:szCs w:val="28"/>
              </w:rPr>
              <w:t>市委改革办、市港澳办、市政协办公厅、市公安交警局、深圳通信管理局、市总工会</w:t>
            </w:r>
          </w:p>
        </w:tc>
        <w:tc>
          <w:tcPr>
            <w:tcW w:w="8079" w:type="dxa"/>
            <w:tcBorders>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未反馈，视为无意见。</w:t>
            </w:r>
          </w:p>
          <w:p>
            <w:pPr>
              <w:pStyle w:val="5"/>
              <w:spacing w:line="340" w:lineRule="exact"/>
              <w:ind w:left="360" w:firstLine="0" w:firstLineChars="0"/>
              <w:rPr>
                <w:rFonts w:ascii="仿宋_GB2312"/>
                <w:color w:val="000000"/>
                <w:sz w:val="28"/>
                <w:szCs w:val="28"/>
              </w:rPr>
            </w:pPr>
          </w:p>
          <w:p>
            <w:pPr>
              <w:pStyle w:val="5"/>
              <w:spacing w:line="340" w:lineRule="exact"/>
              <w:ind w:left="360" w:firstLine="0" w:firstLineChars="0"/>
              <w:rPr>
                <w:rFonts w:ascii="仿宋_GB2312"/>
                <w:color w:val="000000"/>
                <w:sz w:val="28"/>
                <w:szCs w:val="28"/>
              </w:rPr>
            </w:pPr>
          </w:p>
        </w:tc>
        <w:tc>
          <w:tcPr>
            <w:tcW w:w="2726" w:type="dxa"/>
            <w:tcBorders>
              <w:bottom w:val="single" w:color="auto" w:sz="4" w:space="0"/>
            </w:tcBorders>
            <w:noWrap w:val="0"/>
            <w:vAlign w:val="center"/>
          </w:tcPr>
          <w:p>
            <w:pPr>
              <w:spacing w:line="340" w:lineRule="exact"/>
              <w:jc w:val="center"/>
              <w:rPr>
                <w:rFonts w:ascii="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noWrap w:val="0"/>
            <w:vAlign w:val="center"/>
          </w:tcPr>
          <w:p>
            <w:pPr>
              <w:spacing w:line="340" w:lineRule="exact"/>
              <w:jc w:val="center"/>
              <w:rPr>
                <w:rFonts w:ascii="仿宋_GB2312"/>
                <w:b/>
                <w:color w:val="000000"/>
                <w:sz w:val="28"/>
                <w:szCs w:val="28"/>
              </w:rPr>
            </w:pPr>
            <w:r>
              <w:rPr>
                <w:rFonts w:hint="eastAsia" w:ascii="仿宋_GB2312"/>
                <w:b/>
                <w:color w:val="000000"/>
                <w:sz w:val="28"/>
                <w:szCs w:val="28"/>
              </w:rPr>
              <w:t>24</w:t>
            </w:r>
          </w:p>
        </w:tc>
        <w:tc>
          <w:tcPr>
            <w:tcW w:w="2552" w:type="dxa"/>
            <w:vMerge w:val="restart"/>
            <w:noWrap w:val="0"/>
            <w:vAlign w:val="center"/>
          </w:tcPr>
          <w:p>
            <w:pPr>
              <w:spacing w:line="340" w:lineRule="exact"/>
              <w:jc w:val="center"/>
              <w:rPr>
                <w:rFonts w:ascii="仿宋_GB2312"/>
                <w:color w:val="000000"/>
                <w:sz w:val="28"/>
                <w:szCs w:val="28"/>
              </w:rPr>
            </w:pPr>
            <w:r>
              <w:rPr>
                <w:rFonts w:hint="eastAsia" w:ascii="仿宋_GB2312"/>
                <w:b/>
                <w:bCs/>
                <w:color w:val="000000"/>
                <w:sz w:val="28"/>
                <w:szCs w:val="28"/>
              </w:rPr>
              <w:t>余**（社会公众）</w:t>
            </w:r>
          </w:p>
        </w:tc>
        <w:tc>
          <w:tcPr>
            <w:tcW w:w="8079" w:type="dxa"/>
            <w:tcBorders>
              <w:bottom w:val="single" w:color="auto" w:sz="4" w:space="0"/>
            </w:tcBorders>
            <w:noWrap w:val="0"/>
            <w:vAlign w:val="top"/>
          </w:tcPr>
          <w:p>
            <w:pPr>
              <w:spacing w:line="340" w:lineRule="exact"/>
              <w:rPr>
                <w:rFonts w:ascii="仿宋_GB2312"/>
                <w:color w:val="000000"/>
                <w:sz w:val="28"/>
                <w:szCs w:val="28"/>
              </w:rPr>
            </w:pPr>
            <w:r>
              <w:rPr>
                <w:rFonts w:hint="eastAsia" w:ascii="仿宋_GB2312"/>
                <w:color w:val="000000"/>
                <w:sz w:val="28"/>
                <w:szCs w:val="28"/>
              </w:rPr>
              <w:t>一、纳入特区信用条例范围的，除了经济欠债赖账者，可考虑屡次违反交规等；</w:t>
            </w:r>
          </w:p>
        </w:tc>
        <w:tc>
          <w:tcPr>
            <w:tcW w:w="2726" w:type="dxa"/>
            <w:tcBorders>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解释说明</w:t>
            </w:r>
            <w:r>
              <w:rPr>
                <w:rFonts w:hint="eastAsia" w:ascii="仿宋_GB2312"/>
                <w:color w:val="000000"/>
                <w:sz w:val="28"/>
                <w:szCs w:val="28"/>
              </w:rPr>
              <w:t>。</w:t>
            </w:r>
            <w:r>
              <w:rPr>
                <w:rFonts w:ascii="仿宋_GB2312"/>
                <w:color w:val="000000"/>
                <w:sz w:val="28"/>
                <w:szCs w:val="28"/>
              </w:rPr>
              <w:t>可在具体实操中予以运用</w:t>
            </w:r>
            <w:r>
              <w:rPr>
                <w:rFonts w:hint="eastAsia" w:ascii="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noWrap w:val="0"/>
            <w:vAlign w:val="center"/>
          </w:tcPr>
          <w:p>
            <w:pPr>
              <w:spacing w:line="340" w:lineRule="exact"/>
              <w:jc w:val="center"/>
              <w:rPr>
                <w:rFonts w:ascii="仿宋_GB2312"/>
                <w:b/>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noWrap w:val="0"/>
            <w:vAlign w:val="top"/>
          </w:tcPr>
          <w:p>
            <w:pPr>
              <w:spacing w:line="340" w:lineRule="exact"/>
              <w:rPr>
                <w:rFonts w:ascii="仿宋_GB2312"/>
                <w:color w:val="000000"/>
                <w:sz w:val="28"/>
                <w:szCs w:val="28"/>
              </w:rPr>
            </w:pPr>
            <w:r>
              <w:rPr>
                <w:rFonts w:hint="eastAsia" w:ascii="仿宋_GB2312"/>
                <w:color w:val="000000"/>
                <w:sz w:val="28"/>
                <w:szCs w:val="28"/>
              </w:rPr>
              <w:t>二、适时联合媒体等单位，对违反《条例》者予以曝光；</w:t>
            </w:r>
          </w:p>
        </w:tc>
        <w:tc>
          <w:tcPr>
            <w:tcW w:w="2726" w:type="dxa"/>
            <w:tcBorders>
              <w:top w:val="single" w:color="auto" w:sz="4" w:space="0"/>
              <w:bottom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w:t>
            </w:r>
            <w:r>
              <w:rPr>
                <w:rFonts w:ascii="仿宋_GB2312"/>
                <w:color w:val="000000"/>
                <w:sz w:val="28"/>
                <w:szCs w:val="28"/>
              </w:rPr>
              <w:t>可在具体实操中予以</w:t>
            </w:r>
            <w:r>
              <w:rPr>
                <w:rFonts w:hint="eastAsia" w:ascii="仿宋_GB2312"/>
                <w:color w:val="000000"/>
                <w:sz w:val="28"/>
                <w:szCs w:val="28"/>
              </w:rPr>
              <w:t>实践。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noWrap w:val="0"/>
            <w:vAlign w:val="center"/>
          </w:tcPr>
          <w:p>
            <w:pPr>
              <w:spacing w:line="340" w:lineRule="exact"/>
              <w:jc w:val="center"/>
              <w:rPr>
                <w:rFonts w:ascii="仿宋_GB2312"/>
                <w:b/>
                <w:color w:val="000000"/>
                <w:sz w:val="28"/>
                <w:szCs w:val="28"/>
              </w:rPr>
            </w:pPr>
          </w:p>
        </w:tc>
        <w:tc>
          <w:tcPr>
            <w:tcW w:w="2552" w:type="dxa"/>
            <w:vMerge w:val="continue"/>
            <w:noWrap w:val="0"/>
            <w:vAlign w:val="center"/>
          </w:tcPr>
          <w:p>
            <w:pPr>
              <w:spacing w:line="340" w:lineRule="exact"/>
              <w:jc w:val="center"/>
              <w:rPr>
                <w:rFonts w:ascii="仿宋_GB2312"/>
                <w:color w:val="000000"/>
                <w:sz w:val="28"/>
                <w:szCs w:val="28"/>
              </w:rPr>
            </w:pPr>
          </w:p>
        </w:tc>
        <w:tc>
          <w:tcPr>
            <w:tcW w:w="8079" w:type="dxa"/>
            <w:noWrap w:val="0"/>
            <w:vAlign w:val="top"/>
          </w:tcPr>
          <w:p>
            <w:pPr>
              <w:spacing w:line="340" w:lineRule="exact"/>
              <w:rPr>
                <w:rFonts w:ascii="仿宋_GB2312"/>
                <w:color w:val="000000"/>
                <w:sz w:val="28"/>
                <w:szCs w:val="28"/>
              </w:rPr>
            </w:pPr>
            <w:r>
              <w:rPr>
                <w:rFonts w:hint="eastAsia" w:ascii="仿宋_GB2312"/>
                <w:color w:val="000000"/>
                <w:sz w:val="28"/>
                <w:szCs w:val="28"/>
              </w:rPr>
              <w:t>三、建立健全监督管理体系。</w:t>
            </w:r>
          </w:p>
        </w:tc>
        <w:tc>
          <w:tcPr>
            <w:tcW w:w="2726" w:type="dxa"/>
            <w:tcBorders>
              <w:top w:val="single" w:color="auto" w:sz="4" w:space="0"/>
            </w:tcBorders>
            <w:noWrap w:val="0"/>
            <w:vAlign w:val="center"/>
          </w:tcPr>
          <w:p>
            <w:pPr>
              <w:spacing w:line="340" w:lineRule="exact"/>
              <w:jc w:val="left"/>
              <w:rPr>
                <w:rFonts w:ascii="仿宋_GB2312"/>
                <w:color w:val="000000"/>
                <w:sz w:val="28"/>
                <w:szCs w:val="28"/>
              </w:rPr>
            </w:pPr>
            <w:r>
              <w:rPr>
                <w:rFonts w:ascii="仿宋_GB2312"/>
                <w:color w:val="000000"/>
                <w:sz w:val="28"/>
                <w:szCs w:val="28"/>
              </w:rPr>
              <w:t>采纳</w:t>
            </w:r>
            <w:r>
              <w:rPr>
                <w:rFonts w:hint="eastAsia" w:ascii="仿宋_GB2312"/>
                <w:color w:val="000000"/>
                <w:sz w:val="28"/>
                <w:szCs w:val="28"/>
              </w:rPr>
              <w:t>。</w:t>
            </w:r>
            <w:r>
              <w:rPr>
                <w:rFonts w:ascii="仿宋_GB2312"/>
                <w:color w:val="000000"/>
                <w:sz w:val="28"/>
                <w:szCs w:val="28"/>
              </w:rPr>
              <w:t>已规定社会信用体系监督管理条款</w:t>
            </w:r>
            <w:r>
              <w:rPr>
                <w:rFonts w:hint="eastAsia" w:ascii="仿宋_GB2312"/>
                <w:color w:val="000000"/>
                <w:sz w:val="28"/>
                <w:szCs w:val="28"/>
              </w:rPr>
              <w:t>，</w:t>
            </w:r>
            <w:r>
              <w:rPr>
                <w:rFonts w:ascii="仿宋_GB2312"/>
                <w:color w:val="000000"/>
                <w:sz w:val="28"/>
                <w:szCs w:val="28"/>
              </w:rPr>
              <w:t>如涉及信用服务机构监督管理的相关内容</w:t>
            </w:r>
            <w:r>
              <w:rPr>
                <w:rFonts w:hint="eastAsia" w:ascii="仿宋_GB2312"/>
                <w:color w:val="000000"/>
                <w:sz w:val="28"/>
                <w:szCs w:val="28"/>
              </w:rPr>
              <w:t>。</w:t>
            </w:r>
          </w:p>
        </w:tc>
      </w:tr>
    </w:tbl>
    <w:p>
      <w:pPr>
        <w:widowControl/>
        <w:jc w:val="left"/>
        <w:rPr>
          <w:rFonts w:eastAsia="宋体"/>
          <w:color w:val="000000"/>
          <w:sz w:val="21"/>
          <w:szCs w:val="24"/>
        </w:rPr>
        <w:sectPr>
          <w:pgSz w:w="16838" w:h="11906" w:orient="landscape"/>
          <w:pgMar w:top="1800" w:right="1440" w:bottom="1800" w:left="1440" w:header="851" w:footer="992" w:gutter="0"/>
          <w:pgNumType w:fmt="numberInDash"/>
          <w:cols w:space="720"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DCC378"/>
    <w:multiLevelType w:val="singleLevel"/>
    <w:tmpl w:val="EADCC3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UyN2E3NzM2MGExODZlOWY3N2U1NWY5MzA5MTcifQ=="/>
  </w:docVars>
  <w:rsids>
    <w:rsidRoot w:val="01FB5754"/>
    <w:rsid w:val="01FB5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kern w:val="0"/>
      <w:sz w:val="18"/>
      <w:szCs w:val="18"/>
    </w:rPr>
  </w:style>
  <w:style w:type="paragraph" w:styleId="5">
    <w:name w:val="List Paragraph"/>
    <w:basedOn w:val="1"/>
    <w:qFormat/>
    <w:uiPriority w:val="34"/>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2022-09-09T06:51:00Z</dcterms:created>
  <dc:creator>杜小猪</dc:creator>
  <cp:lastModifiedBy>杜小猪</cp:lastModifiedBy>
  <dcterms:modified xsi:type="dcterms:W3CDTF">2022-09-09T06:52:36Z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37A50A12A2734E38B1ACFF40DE9C6E70</vt:lpwstr>
  </property>
</Properties>
</file>